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附件1</w:t>
      </w:r>
    </w:p>
    <w:p>
      <w:pPr>
        <w:widowControl/>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精品视频公开课项目建设指南</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一、建设的目的和内容</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（一）建设的目的</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精品视频公开课是指以高校学生为服务主体，同时面向社会公众免费开放的科学文化素质教育类、专业导论类的网络视频课程。</w:t>
      </w:r>
    </w:p>
    <w:p>
      <w:pPr>
        <w:tabs>
          <w:tab w:val="left" w:pos="8610"/>
        </w:tabs>
        <w:spacing w:line="560" w:lineRule="exact"/>
        <w:ind w:firstLine="640" w:firstLineChars="200"/>
        <w:rPr>
          <w:rFonts w:ascii="仿宋" w:hAnsi="仿宋" w:eastAsia="仿宋"/>
          <w:sz w:val="32"/>
          <w:szCs w:val="32"/>
        </w:rPr>
      </w:pPr>
      <w:r>
        <w:rPr>
          <w:rFonts w:hint="eastAsia" w:ascii="仿宋" w:hAnsi="仿宋" w:eastAsia="仿宋"/>
          <w:sz w:val="32"/>
          <w:szCs w:val="32"/>
        </w:rPr>
        <w:t>高等学校通过开展精品视频公开课建设，实现服务社会和文化传承创新的社会责任，激励教师积极投入教学和人才培养工作，推进教学观念转变、教学内容更新和教学方法改革，造就一批“名师名课”，进一步提高教育教学水平和质量。</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（二）建设的内容</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要根据人才培养目标，体现现代教育思想，符合科学性、先进性和教育教学的普遍规律，具有鲜明特色，并能恰当运用现代教育技术与方法，教学效果显著，具有示范和辐射推广作用。在教学内容方面，要处理好经典与现代的关系</w:t>
      </w:r>
      <w:r>
        <w:rPr>
          <w:rFonts w:hint="eastAsia" w:ascii="仿宋" w:hAnsi="仿宋" w:eastAsia="仿宋"/>
          <w:sz w:val="32"/>
          <w:szCs w:val="32"/>
          <w:lang w:eastAsia="zh-CN"/>
        </w:rPr>
        <w:t>；</w:t>
      </w:r>
      <w:r>
        <w:rPr>
          <w:rFonts w:hint="eastAsia" w:ascii="仿宋" w:hAnsi="仿宋" w:eastAsia="仿宋"/>
          <w:sz w:val="32"/>
          <w:szCs w:val="32"/>
        </w:rPr>
        <w:t>在教学方法与手段方面，以先进的教育理念指导教学方法的改革</w:t>
      </w:r>
      <w:r>
        <w:rPr>
          <w:rFonts w:hint="eastAsia" w:ascii="仿宋" w:hAnsi="仿宋" w:eastAsia="仿宋"/>
          <w:sz w:val="32"/>
          <w:szCs w:val="32"/>
          <w:lang w:eastAsia="zh-CN"/>
        </w:rPr>
        <w:t>，</w:t>
      </w:r>
      <w:r>
        <w:rPr>
          <w:rFonts w:hint="eastAsia" w:ascii="仿宋" w:hAnsi="仿宋" w:eastAsia="仿宋"/>
          <w:sz w:val="32"/>
          <w:szCs w:val="32"/>
        </w:rPr>
        <w:t>灵活运用多种教学方法，调动学生学习积极性，促进学生学习能力发展；协调传统教学手段和现代教育技术的应用，并做好与课程的整合</w:t>
      </w:r>
      <w:r>
        <w:rPr>
          <w:rFonts w:hint="eastAsia" w:ascii="仿宋" w:hAnsi="仿宋" w:eastAsia="仿宋"/>
          <w:sz w:val="32"/>
          <w:szCs w:val="32"/>
          <w:lang w:eastAsia="zh-CN"/>
        </w:rPr>
        <w:t>，</w:t>
      </w:r>
      <w:r>
        <w:rPr>
          <w:rFonts w:hint="eastAsia" w:ascii="仿宋" w:hAnsi="仿宋" w:eastAsia="仿宋"/>
          <w:sz w:val="32"/>
          <w:szCs w:val="32"/>
        </w:rPr>
        <w:t>坚持理论教学与实践教学并重，重视在实践教学中培养学生的实践能力和创新能力。</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二、评选的范围和条件</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（一）评选范围</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sz w:val="32"/>
          <w:szCs w:val="32"/>
        </w:rPr>
        <w:t>申报课程应为纳入学校相关专业人才培养方案并在教学中实际开设的课程，包括思想政治理论课、公共教育类课程、专业类课程</w:t>
      </w:r>
      <w:r>
        <w:rPr>
          <w:rFonts w:hint="eastAsia" w:ascii="仿宋" w:hAnsi="仿宋" w:eastAsia="仿宋"/>
          <w:sz w:val="32"/>
          <w:szCs w:val="32"/>
          <w:lang w:eastAsia="zh-CN"/>
        </w:rPr>
        <w:t>。</w:t>
      </w:r>
      <w:r>
        <w:rPr>
          <w:rFonts w:hint="eastAsia" w:ascii="仿宋" w:hAnsi="仿宋" w:eastAsia="仿宋" w:cs="仿宋"/>
          <w:color w:val="000000"/>
          <w:sz w:val="32"/>
          <w:szCs w:val="32"/>
        </w:rPr>
        <w:t>五年制高职前三年课程列归中等职业教育组，五年制高职后两年课程列归高等职业教育组。</w:t>
      </w:r>
    </w:p>
    <w:p>
      <w:pPr>
        <w:tabs>
          <w:tab w:val="left" w:pos="8610"/>
        </w:tabs>
        <w:spacing w:line="560" w:lineRule="exact"/>
        <w:ind w:firstLine="640" w:firstLineChars="200"/>
        <w:rPr>
          <w:rFonts w:ascii="楷体" w:hAnsi="楷体" w:eastAsia="楷体"/>
          <w:sz w:val="32"/>
          <w:szCs w:val="32"/>
        </w:rPr>
      </w:pPr>
      <w:r>
        <w:rPr>
          <w:rFonts w:hint="eastAsia" w:ascii="楷体" w:hAnsi="楷体" w:eastAsia="楷体"/>
          <w:sz w:val="32"/>
          <w:szCs w:val="32"/>
        </w:rPr>
        <w:t>（二）评选条件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1.课程负责人须为学校在职教师，原则上应具有讲师及以上职称，对申报课程建设具有深刻的认识、独到的见解和浓厚的兴趣</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教学团队基础好，师德师风优、教学能力强、数字素养高，结构合理，能够提供稳定的课程教学服务。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w:t>
      </w:r>
      <w:r>
        <w:rPr>
          <w:rFonts w:hint="eastAsia" w:ascii="仿宋" w:hAnsi="仿宋" w:eastAsia="仿宋"/>
          <w:color w:val="000000" w:themeColor="text1"/>
          <w:sz w:val="32"/>
          <w:szCs w:val="32"/>
          <w14:textFill>
            <w14:solidFill>
              <w14:schemeClr w14:val="tx1"/>
            </w14:solidFill>
          </w14:textFill>
        </w:rPr>
        <w:t>课程为经过教学实践检验的优质课程，注重突出</w:t>
      </w:r>
      <w:r>
        <w:rPr>
          <w:rFonts w:hint="eastAsia" w:ascii="仿宋" w:hAnsi="仿宋" w:eastAsia="仿宋"/>
          <w:color w:val="000000" w:themeColor="text1"/>
          <w:sz w:val="32"/>
          <w:szCs w:val="32"/>
          <w:lang w:val="en-US" w:eastAsia="zh-CN"/>
          <w14:textFill>
            <w14:solidFill>
              <w14:schemeClr w14:val="tx1"/>
            </w14:solidFill>
          </w14:textFill>
        </w:rPr>
        <w:t>学校</w:t>
      </w:r>
      <w:r>
        <w:rPr>
          <w:rFonts w:hint="eastAsia" w:ascii="仿宋" w:hAnsi="仿宋" w:eastAsia="仿宋"/>
          <w:color w:val="000000" w:themeColor="text1"/>
          <w:sz w:val="32"/>
          <w:szCs w:val="32"/>
          <w14:textFill>
            <w14:solidFill>
              <w14:schemeClr w14:val="tx1"/>
            </w14:solidFill>
          </w14:textFill>
        </w:rPr>
        <w:t>办学特色和学科优势，能够充分展现</w:t>
      </w:r>
      <w:r>
        <w:rPr>
          <w:rFonts w:hint="eastAsia" w:ascii="仿宋" w:hAnsi="仿宋" w:eastAsia="仿宋"/>
          <w:color w:val="000000" w:themeColor="text1"/>
          <w:sz w:val="32"/>
          <w:szCs w:val="32"/>
          <w:lang w:val="en-US" w:eastAsia="zh-CN"/>
          <w14:textFill>
            <w14:solidFill>
              <w14:schemeClr w14:val="tx1"/>
            </w14:solidFill>
          </w14:textFill>
        </w:rPr>
        <w:t>我校</w:t>
      </w:r>
      <w:r>
        <w:rPr>
          <w:rFonts w:hint="eastAsia" w:ascii="仿宋" w:hAnsi="仿宋" w:eastAsia="仿宋"/>
          <w:color w:val="000000" w:themeColor="text1"/>
          <w:sz w:val="32"/>
          <w:szCs w:val="32"/>
          <w14:textFill>
            <w14:solidFill>
              <w14:schemeClr w14:val="tx1"/>
            </w14:solidFill>
          </w14:textFill>
        </w:rPr>
        <w:t>的教学模式、教学水平、优秀的教学方法、丰硕的教学成果，能代表</w:t>
      </w:r>
      <w:r>
        <w:rPr>
          <w:rFonts w:hint="eastAsia" w:ascii="仿宋" w:hAnsi="仿宋" w:eastAsia="仿宋"/>
          <w:color w:val="000000" w:themeColor="text1"/>
          <w:sz w:val="32"/>
          <w:szCs w:val="32"/>
          <w:lang w:val="en-US" w:eastAsia="zh-CN"/>
          <w14:textFill>
            <w14:solidFill>
              <w14:schemeClr w14:val="tx1"/>
            </w14:solidFill>
          </w14:textFill>
        </w:rPr>
        <w:t>学校</w:t>
      </w:r>
      <w:r>
        <w:rPr>
          <w:rFonts w:hint="eastAsia" w:ascii="仿宋" w:hAnsi="仿宋" w:eastAsia="仿宋"/>
          <w:color w:val="000000" w:themeColor="text1"/>
          <w:sz w:val="32"/>
          <w:szCs w:val="32"/>
          <w14:textFill>
            <w14:solidFill>
              <w14:schemeClr w14:val="tx1"/>
            </w14:solidFill>
          </w14:textFill>
        </w:rPr>
        <w:t>教育教学水平。</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color w:val="000000" w:themeColor="text1"/>
          <w:kern w:val="2"/>
          <w:sz w:val="32"/>
          <w:szCs w:val="32"/>
          <w:lang w:val="en-US" w:eastAsia="zh-CN" w:bidi="ar-SA"/>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3</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s="Times New Roman"/>
          <w:color w:val="000000" w:themeColor="text1"/>
          <w:kern w:val="2"/>
          <w:sz w:val="32"/>
          <w:szCs w:val="32"/>
          <w:lang w:val="en-US" w:eastAsia="zh-CN" w:bidi="ar-SA"/>
          <w14:textFill>
            <w14:solidFill>
              <w14:schemeClr w14:val="tx1"/>
            </w14:solidFill>
          </w14:textFill>
        </w:rPr>
        <w:t>课程设计科学，教学目标清晰，内容符合政治性、科学性、先进性、适用性、规范性要求，有机融入课程思政要求，体现职教特色，专业课及时融入新技术、新工艺、新规范，鼓励与行业企业等合作开展课程建设与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color w:val="000000" w:themeColor="text1"/>
          <w:kern w:val="2"/>
          <w:sz w:val="32"/>
          <w:szCs w:val="32"/>
          <w:lang w:val="en-US" w:eastAsia="zh-CN" w:bidi="ar-SA"/>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4.</w:t>
      </w:r>
      <w:r>
        <w:rPr>
          <w:rFonts w:hint="eastAsia" w:ascii="仿宋" w:hAnsi="仿宋" w:eastAsia="仿宋"/>
          <w:color w:val="000000" w:themeColor="text1"/>
          <w:sz w:val="32"/>
          <w:szCs w:val="32"/>
          <w:lang w:val="en-US" w:eastAsia="zh-CN"/>
          <w14:textFill>
            <w14:solidFill>
              <w14:schemeClr w14:val="tx1"/>
            </w14:solidFill>
          </w14:textFill>
        </w:rPr>
        <w:t>申报</w:t>
      </w:r>
      <w:r>
        <w:rPr>
          <w:rFonts w:hint="eastAsia" w:ascii="仿宋" w:hAnsi="仿宋" w:eastAsia="仿宋" w:cs="仿宋"/>
          <w:color w:val="000000" w:themeColor="text1"/>
          <w:sz w:val="32"/>
          <w:szCs w:val="32"/>
          <w:lang w:val="en-US" w:eastAsia="zh-CN"/>
          <w14:textFill>
            <w14:solidFill>
              <w14:schemeClr w14:val="tx1"/>
            </w14:solidFill>
          </w14:textFill>
        </w:rPr>
        <w:t>课程总学时不低</w:t>
      </w:r>
      <w:r>
        <w:rPr>
          <w:rFonts w:hint="eastAsia" w:ascii="仿宋" w:hAnsi="仿宋" w:eastAsia="仿宋" w:cs="Times New Roman"/>
          <w:color w:val="000000" w:themeColor="text1"/>
          <w:kern w:val="2"/>
          <w:sz w:val="32"/>
          <w:szCs w:val="32"/>
          <w:lang w:val="en-US" w:eastAsia="zh-CN" w:bidi="ar-SA"/>
          <w14:textFill>
            <w14:solidFill>
              <w14:schemeClr w14:val="tx1"/>
            </w14:solidFill>
          </w14:textFill>
        </w:rPr>
        <w:t>于32学时，在同类课程中教学效果良好。</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5.</w:t>
      </w:r>
      <w:r>
        <w:rPr>
          <w:rFonts w:hint="eastAsia" w:ascii="仿宋" w:hAnsi="仿宋" w:eastAsia="仿宋" w:cs="仿宋"/>
          <w:color w:val="000000" w:themeColor="text1"/>
          <w:sz w:val="32"/>
          <w:szCs w:val="32"/>
          <w:lang w:val="en-US" w:eastAsia="zh-CN"/>
          <w14:textFill>
            <w14:solidFill>
              <w14:schemeClr w14:val="tx1"/>
            </w14:solidFill>
          </w14:textFill>
        </w:rPr>
        <w:t>申报课程必须在规定时间内完成课程建设任务并完善课程基本资源，教学内容应包括课程介绍、教学大纲、教学视频、教学资料、课堂讨论、随堂测验、作业布置等模块，并依托“学银在线”、“智慧树”等国内平台建立在线授课网站，完善在线测试、讨论及在线答疑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6</w:t>
      </w:r>
      <w:r>
        <w:rPr>
          <w:rFonts w:hint="eastAsia" w:ascii="仿宋" w:hAnsi="仿宋" w:eastAsia="仿宋"/>
          <w:color w:val="000000" w:themeColor="text1"/>
          <w:sz w:val="32"/>
          <w:szCs w:val="32"/>
          <w14:textFill>
            <w14:solidFill>
              <w14:schemeClr w14:val="tx1"/>
            </w14:solidFill>
          </w14:textFill>
        </w:rPr>
        <w:t>.数字化教学资源丰富多样、质量精良，无版权、肖像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权争议，课程平台资质良好、运行可靠，课程有特色有创新并可持续改进。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7.</w:t>
      </w:r>
      <w:r>
        <w:rPr>
          <w:rFonts w:hint="eastAsia" w:ascii="仿宋" w:hAnsi="仿宋" w:eastAsia="仿宋"/>
          <w:color w:val="000000" w:themeColor="text1"/>
          <w:sz w:val="32"/>
          <w:szCs w:val="32"/>
          <w14:textFill>
            <w14:solidFill>
              <w14:schemeClr w14:val="tx1"/>
            </w14:solidFill>
          </w14:textFill>
        </w:rPr>
        <w:t>申报课程在本校教学过程中能较好地应用，将在线课程与课堂教学相结合，教学方法先进，教学质量高，应用模式多样，应用效果好。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8</w:t>
      </w:r>
      <w:r>
        <w:rPr>
          <w:rFonts w:hint="eastAsia" w:ascii="仿宋" w:hAnsi="仿宋" w:eastAsia="仿宋"/>
          <w:color w:val="000000" w:themeColor="text1"/>
          <w:sz w:val="32"/>
          <w:szCs w:val="32"/>
          <w14:textFill>
            <w14:solidFill>
              <w14:schemeClr w14:val="tx1"/>
            </w14:solidFill>
          </w14:textFill>
        </w:rPr>
        <w:t>.为保证视频公开课的质量及展示与传输效果，课程制作必须严格执行国家有关法律法规以及有关媒体制作、传播标准和规范，符合“精品视频公开课拍摄制作技术标准”。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9.如有与企业合作共建的精品视频公开课建设项目，各教学单位和课程负责人须与企业相关人员签署知识产权协议，以明确课程建设各方的权利、义务和法律责任。各教学单位在向学校提交课程前，应依法妥善处理课程涉及的与第三人相关的权利或义务事宜。在课程正式推出前，不得在公开网络传播使用。</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三、评选名额、</w:t>
      </w:r>
      <w:r>
        <w:rPr>
          <w:rFonts w:hint="eastAsia" w:ascii="黑体" w:hAnsi="宋体" w:eastAsia="黑体"/>
          <w:sz w:val="32"/>
          <w:szCs w:val="32"/>
          <w:lang w:val="en-US" w:eastAsia="zh-CN"/>
        </w:rPr>
        <w:t>建设经费</w:t>
      </w:r>
      <w:r>
        <w:rPr>
          <w:rFonts w:hint="eastAsia" w:ascii="黑体" w:hAnsi="宋体" w:eastAsia="黑体"/>
          <w:sz w:val="32"/>
          <w:szCs w:val="32"/>
        </w:rPr>
        <w:t>和办法</w:t>
      </w:r>
    </w:p>
    <w:p>
      <w:pPr>
        <w:spacing w:line="560" w:lineRule="exact"/>
        <w:ind w:firstLine="640" w:firstLineChars="200"/>
        <w:rPr>
          <w:rFonts w:hint="eastAsia" w:ascii="楷体" w:hAnsi="楷体" w:eastAsia="楷体"/>
          <w:sz w:val="32"/>
          <w:szCs w:val="32"/>
        </w:rPr>
      </w:pPr>
      <w:r>
        <w:rPr>
          <w:rFonts w:hint="eastAsia" w:ascii="楷体" w:hAnsi="楷体" w:eastAsia="楷体"/>
          <w:sz w:val="32"/>
          <w:szCs w:val="32"/>
        </w:rPr>
        <w:t>（一）评选名额和建设经费</w:t>
      </w:r>
    </w:p>
    <w:p>
      <w:pPr>
        <w:spacing w:line="560" w:lineRule="exact"/>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1.校级精品视频公开课</w:t>
      </w:r>
      <w:r>
        <w:rPr>
          <w:rFonts w:hint="eastAsia" w:ascii="仿宋" w:hAnsi="仿宋" w:eastAsia="仿宋"/>
          <w:color w:val="000000" w:themeColor="text1"/>
          <w:sz w:val="32"/>
          <w:szCs w:val="32"/>
          <w:highlight w:val="none"/>
          <w14:textFill>
            <w14:solidFill>
              <w14:schemeClr w14:val="tx1"/>
            </w14:solidFill>
          </w14:textFill>
        </w:rPr>
        <w:t>每年</w:t>
      </w:r>
      <w:r>
        <w:rPr>
          <w:rFonts w:hint="eastAsia" w:ascii="仿宋" w:hAnsi="仿宋" w:eastAsia="仿宋"/>
          <w:color w:val="000000" w:themeColor="text1"/>
          <w:sz w:val="32"/>
          <w:szCs w:val="32"/>
          <w:highlight w:val="none"/>
          <w:lang w:val="en-US" w:eastAsia="zh-CN"/>
          <w14:textFill>
            <w14:solidFill>
              <w14:schemeClr w14:val="tx1"/>
            </w14:solidFill>
          </w14:textFill>
        </w:rPr>
        <w:t>拟</w:t>
      </w:r>
      <w:r>
        <w:rPr>
          <w:rFonts w:hint="eastAsia" w:ascii="仿宋" w:hAnsi="仿宋" w:eastAsia="仿宋"/>
          <w:color w:val="000000" w:themeColor="text1"/>
          <w:sz w:val="32"/>
          <w:szCs w:val="32"/>
          <w:highlight w:val="none"/>
          <w14:textFill>
            <w14:solidFill>
              <w14:schemeClr w14:val="tx1"/>
            </w14:solidFill>
          </w14:textFill>
        </w:rPr>
        <w:t>评选</w:t>
      </w:r>
      <w:r>
        <w:rPr>
          <w:rFonts w:hint="eastAsia" w:ascii="仿宋" w:hAnsi="仿宋" w:eastAsia="仿宋"/>
          <w:color w:val="000000" w:themeColor="text1"/>
          <w:sz w:val="32"/>
          <w:szCs w:val="32"/>
          <w:highlight w:val="none"/>
          <w:lang w:val="en-US" w:eastAsia="zh-CN"/>
          <w14:textFill>
            <w14:solidFill>
              <w14:schemeClr w14:val="tx1"/>
            </w14:solidFill>
          </w14:textFill>
        </w:rPr>
        <w:t>5</w:t>
      </w:r>
      <w:r>
        <w:rPr>
          <w:rFonts w:hint="eastAsia" w:ascii="仿宋" w:hAnsi="仿宋" w:eastAsia="仿宋"/>
          <w:color w:val="000000" w:themeColor="text1"/>
          <w:sz w:val="32"/>
          <w:szCs w:val="32"/>
          <w:highlight w:val="none"/>
          <w14:textFill>
            <w14:solidFill>
              <w14:schemeClr w14:val="tx1"/>
            </w14:solidFill>
          </w14:textFill>
        </w:rPr>
        <w:t>门</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建设经费为10-</w:t>
      </w:r>
      <w:r>
        <w:rPr>
          <w:rFonts w:hint="eastAsia" w:ascii="仿宋" w:hAnsi="仿宋" w:eastAsia="仿宋"/>
          <w:color w:val="000000" w:themeColor="text1"/>
          <w:sz w:val="32"/>
          <w:szCs w:val="32"/>
          <w:highlight w:val="none"/>
          <w14:textFill>
            <w14:solidFill>
              <w14:schemeClr w14:val="tx1"/>
            </w14:solidFill>
          </w14:textFill>
        </w:rPr>
        <w:t>1</w:t>
      </w:r>
      <w:r>
        <w:rPr>
          <w:rFonts w:hint="eastAsia" w:ascii="仿宋" w:hAnsi="仿宋" w:eastAsia="仿宋"/>
          <w:color w:val="000000" w:themeColor="text1"/>
          <w:sz w:val="32"/>
          <w:szCs w:val="32"/>
          <w:highlight w:val="none"/>
          <w:lang w:val="en-US" w:eastAsia="zh-CN"/>
          <w14:textFill>
            <w14:solidFill>
              <w14:schemeClr w14:val="tx1"/>
            </w14:solidFill>
          </w14:textFill>
        </w:rPr>
        <w:t>5</w:t>
      </w:r>
      <w:r>
        <w:rPr>
          <w:rFonts w:hint="eastAsia" w:ascii="仿宋" w:hAnsi="仿宋" w:eastAsia="仿宋"/>
          <w:color w:val="000000" w:themeColor="text1"/>
          <w:sz w:val="32"/>
          <w:szCs w:val="32"/>
          <w:highlight w:val="none"/>
          <w14:textFill>
            <w14:solidFill>
              <w14:schemeClr w14:val="tx1"/>
            </w14:solidFill>
          </w14:textFill>
        </w:rPr>
        <w:t>万元/门</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建设周期</w:t>
      </w:r>
      <w:r>
        <w:rPr>
          <w:rFonts w:hint="eastAsia" w:ascii="仿宋" w:hAnsi="仿宋" w:eastAsia="仿宋"/>
          <w:color w:val="000000" w:themeColor="text1"/>
          <w:sz w:val="32"/>
          <w:szCs w:val="32"/>
          <w:highlight w:val="none"/>
          <w:lang w:val="en-US" w:eastAsia="zh-CN"/>
          <w14:textFill>
            <w14:solidFill>
              <w14:schemeClr w14:val="tx1"/>
            </w14:solidFill>
          </w14:textFill>
        </w:rPr>
        <w:t>为1</w:t>
      </w:r>
      <w:r>
        <w:rPr>
          <w:rFonts w:hint="eastAsia" w:ascii="仿宋" w:hAnsi="仿宋" w:eastAsia="仿宋"/>
          <w:color w:val="000000" w:themeColor="text1"/>
          <w:sz w:val="32"/>
          <w:szCs w:val="32"/>
          <w:highlight w:val="none"/>
          <w14:textFill>
            <w14:solidFill>
              <w14:schemeClr w14:val="tx1"/>
            </w14:solidFill>
          </w14:textFill>
        </w:rPr>
        <w:t>年</w:t>
      </w:r>
      <w:r>
        <w:rPr>
          <w:rFonts w:hint="eastAsia" w:ascii="仿宋" w:hAnsi="仿宋" w:eastAsia="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kern w:val="2"/>
          <w:sz w:val="32"/>
          <w:szCs w:val="32"/>
          <w:lang w:val="en-US" w:eastAsia="zh-CN" w:bidi="ar-SA"/>
        </w:rPr>
        <w:t>维护周期不得少于2年</w:t>
      </w:r>
      <w:r>
        <w:rPr>
          <w:rFonts w:hint="eastAsia" w:ascii="仿宋" w:hAnsi="仿宋" w:eastAsia="仿宋"/>
          <w:color w:val="000000" w:themeColor="text1"/>
          <w:sz w:val="32"/>
          <w:szCs w:val="32"/>
          <w:highlight w:val="none"/>
          <w:lang w:eastAsia="zh-CN"/>
          <w14:textFill>
            <w14:solidFill>
              <w14:schemeClr w14:val="tx1"/>
            </w14:solidFill>
          </w14:textFill>
        </w:rPr>
        <w:t>。</w:t>
      </w:r>
    </w:p>
    <w:p>
      <w:pPr>
        <w:spacing w:line="560" w:lineRule="exact"/>
        <w:ind w:firstLine="640" w:firstLineChars="200"/>
        <w:rPr>
          <w:rFonts w:hint="eastAsia" w:ascii="仿宋" w:hAnsi="仿宋" w:eastAsia="仿宋"/>
          <w:color w:val="000000" w:themeColor="text1"/>
          <w:sz w:val="32"/>
          <w:szCs w:val="32"/>
          <w:highlight w:val="none"/>
          <w:lang w:val="en-US" w:eastAsia="zh-CN"/>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2.院级精品视频公开课由各二级学院自行立项建设，并由学院提供建设经费2万元/门，主要用于视频公开课建设相关开支，建设周期为1年。</w:t>
      </w:r>
    </w:p>
    <w:p>
      <w:pPr>
        <w:spacing w:line="560" w:lineRule="exact"/>
        <w:ind w:firstLine="640" w:firstLineChars="200"/>
        <w:rPr>
          <w:rFonts w:ascii="楷体" w:hAnsi="楷体" w:eastAsia="楷体"/>
          <w:color w:val="000000" w:themeColor="text1"/>
          <w:sz w:val="32"/>
          <w:szCs w:val="32"/>
          <w:highlight w:val="none"/>
          <w14:textFill>
            <w14:solidFill>
              <w14:schemeClr w14:val="tx1"/>
            </w14:solidFill>
          </w14:textFill>
        </w:rPr>
      </w:pPr>
      <w:r>
        <w:rPr>
          <w:rFonts w:hint="eastAsia" w:ascii="楷体" w:hAnsi="楷体" w:eastAsia="楷体"/>
          <w:color w:val="000000" w:themeColor="text1"/>
          <w:sz w:val="32"/>
          <w:szCs w:val="32"/>
          <w:highlight w:val="none"/>
          <w14:textFill>
            <w14:solidFill>
              <w14:schemeClr w14:val="tx1"/>
            </w14:solidFill>
          </w14:textFill>
        </w:rPr>
        <w:t>（二）评选办法</w:t>
      </w:r>
    </w:p>
    <w:p>
      <w:pPr>
        <w:spacing w:line="560" w:lineRule="exact"/>
        <w:ind w:firstLine="640" w:firstLineChars="200"/>
        <w:rPr>
          <w:rFonts w:hint="eastAsia" w:ascii="仿宋" w:hAnsi="仿宋" w:eastAsia="仿宋"/>
          <w:color w:val="000000" w:themeColor="text1"/>
          <w:sz w:val="32"/>
          <w:szCs w:val="32"/>
          <w:highlight w:val="none"/>
          <w14:textFill>
            <w14:solidFill>
              <w14:schemeClr w14:val="tx1"/>
            </w14:solidFill>
          </w14:textFill>
        </w:rPr>
      </w:pPr>
      <w:r>
        <w:rPr>
          <w:rFonts w:hint="eastAsia" w:ascii="仿宋" w:hAnsi="仿宋" w:eastAsia="仿宋"/>
          <w:color w:val="000000" w:themeColor="text1"/>
          <w:sz w:val="32"/>
          <w:szCs w:val="32"/>
          <w:highlight w:val="none"/>
          <w:lang w:val="en-US" w:eastAsia="zh-CN"/>
          <w14:textFill>
            <w14:solidFill>
              <w14:schemeClr w14:val="tx1"/>
            </w14:solidFill>
          </w14:textFill>
        </w:rPr>
        <w:t>1.每年</w:t>
      </w:r>
      <w:r>
        <w:rPr>
          <w:rFonts w:ascii="仿宋" w:hAnsi="仿宋" w:eastAsia="仿宋"/>
          <w:color w:val="000000" w:themeColor="text1"/>
          <w:sz w:val="32"/>
          <w:szCs w:val="32"/>
          <w:highlight w:val="none"/>
          <w14:textFill>
            <w14:solidFill>
              <w14:schemeClr w14:val="tx1"/>
            </w14:solidFill>
          </w14:textFill>
        </w:rPr>
        <w:t>教务处</w:t>
      </w:r>
      <w:r>
        <w:rPr>
          <w:rFonts w:hint="eastAsia" w:ascii="仿宋" w:hAnsi="仿宋" w:eastAsia="仿宋"/>
          <w:color w:val="000000" w:themeColor="text1"/>
          <w:sz w:val="32"/>
          <w:szCs w:val="32"/>
          <w:highlight w:val="none"/>
          <w14:textFill>
            <w14:solidFill>
              <w14:schemeClr w14:val="tx1"/>
            </w14:solidFill>
          </w14:textFill>
        </w:rPr>
        <w:t>发布</w:t>
      </w:r>
      <w:r>
        <w:rPr>
          <w:rFonts w:hint="eastAsia" w:ascii="仿宋" w:hAnsi="仿宋" w:eastAsia="仿宋"/>
          <w:color w:val="000000" w:themeColor="text1"/>
          <w:sz w:val="32"/>
          <w:szCs w:val="32"/>
          <w:highlight w:val="none"/>
          <w:lang w:val="en-US" w:eastAsia="zh-CN"/>
          <w14:textFill>
            <w14:solidFill>
              <w14:schemeClr w14:val="tx1"/>
            </w14:solidFill>
          </w14:textFill>
        </w:rPr>
        <w:t>校级精品视频公开课</w:t>
      </w:r>
      <w:r>
        <w:rPr>
          <w:rFonts w:hint="eastAsia" w:ascii="仿宋" w:hAnsi="仿宋" w:eastAsia="仿宋"/>
          <w:color w:val="000000" w:themeColor="text1"/>
          <w:sz w:val="32"/>
          <w:szCs w:val="32"/>
          <w:highlight w:val="none"/>
          <w14:textFill>
            <w14:solidFill>
              <w14:schemeClr w14:val="tx1"/>
            </w14:solidFill>
          </w14:textFill>
        </w:rPr>
        <w:t>申报通知</w:t>
      </w:r>
      <w:r>
        <w:rPr>
          <w:rFonts w:hint="eastAsia" w:ascii="仿宋" w:hAnsi="仿宋" w:eastAsia="仿宋"/>
          <w:color w:val="000000" w:themeColor="text1"/>
          <w:sz w:val="32"/>
          <w:szCs w:val="32"/>
          <w:highlight w:val="none"/>
          <w:lang w:val="en-US" w:eastAsia="zh-CN"/>
          <w14:textFill>
            <w14:solidFill>
              <w14:schemeClr w14:val="tx1"/>
            </w14:solidFill>
          </w14:textFill>
        </w:rPr>
        <w:t>后</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各教学单位</w:t>
      </w:r>
      <w:r>
        <w:rPr>
          <w:rFonts w:hint="eastAsia" w:ascii="仿宋" w:hAnsi="仿宋" w:eastAsia="仿宋"/>
          <w:color w:val="000000" w:themeColor="text1"/>
          <w:sz w:val="32"/>
          <w:szCs w:val="32"/>
          <w:highlight w:val="none"/>
          <w14:textFill>
            <w14:solidFill>
              <w14:schemeClr w14:val="tx1"/>
            </w14:solidFill>
          </w14:textFill>
        </w:rPr>
        <w:t>组织项目申报，填写相应项目申请表，</w:t>
      </w:r>
      <w:r>
        <w:rPr>
          <w:rFonts w:ascii="仿宋" w:hAnsi="仿宋" w:eastAsia="仿宋"/>
          <w:color w:val="000000" w:themeColor="text1"/>
          <w:sz w:val="32"/>
          <w:szCs w:val="32"/>
          <w:highlight w:val="none"/>
          <w14:textFill>
            <w14:solidFill>
              <w14:schemeClr w14:val="tx1"/>
            </w14:solidFill>
          </w14:textFill>
        </w:rPr>
        <w:t>教务处</w:t>
      </w:r>
      <w:r>
        <w:rPr>
          <w:rFonts w:hint="eastAsia" w:ascii="仿宋" w:hAnsi="仿宋" w:eastAsia="仿宋"/>
          <w:color w:val="000000" w:themeColor="text1"/>
          <w:sz w:val="32"/>
          <w:szCs w:val="32"/>
          <w:highlight w:val="none"/>
          <w14:textFill>
            <w14:solidFill>
              <w14:schemeClr w14:val="tx1"/>
            </w14:solidFill>
          </w14:textFill>
        </w:rPr>
        <w:t>组织专家</w:t>
      </w:r>
      <w:r>
        <w:rPr>
          <w:rFonts w:ascii="仿宋" w:hAnsi="仿宋" w:eastAsia="仿宋" w:cs="仿宋"/>
          <w:color w:val="000000" w:themeColor="text1"/>
          <w:sz w:val="32"/>
          <w:szCs w:val="32"/>
          <w:highlight w:val="none"/>
          <w14:textFill>
            <w14:solidFill>
              <w14:schemeClr w14:val="tx1"/>
            </w14:solidFill>
          </w14:textFill>
        </w:rPr>
        <w:t>对</w:t>
      </w:r>
      <w:r>
        <w:rPr>
          <w:rFonts w:hint="eastAsia" w:ascii="仿宋" w:hAnsi="仿宋" w:eastAsia="仿宋" w:cs="仿宋"/>
          <w:color w:val="000000" w:themeColor="text1"/>
          <w:sz w:val="32"/>
          <w:szCs w:val="32"/>
          <w:highlight w:val="none"/>
          <w14:textFill>
            <w14:solidFill>
              <w14:schemeClr w14:val="tx1"/>
            </w14:solidFill>
          </w14:textFill>
        </w:rPr>
        <w:t>申报</w:t>
      </w:r>
      <w:r>
        <w:rPr>
          <w:rFonts w:ascii="仿宋" w:hAnsi="仿宋" w:eastAsia="仿宋" w:cs="仿宋"/>
          <w:color w:val="000000" w:themeColor="text1"/>
          <w:sz w:val="32"/>
          <w:szCs w:val="32"/>
          <w:highlight w:val="none"/>
          <w14:textFill>
            <w14:solidFill>
              <w14:schemeClr w14:val="tx1"/>
            </w14:solidFill>
          </w14:textFill>
        </w:rPr>
        <w:t>课程的学术水平、内容质量、课程应用共享效果等进行综合评议，</w:t>
      </w:r>
      <w:r>
        <w:rPr>
          <w:rFonts w:hint="eastAsia" w:ascii="仿宋" w:hAnsi="仿宋" w:eastAsia="仿宋" w:cs="仿宋"/>
          <w:color w:val="000000" w:themeColor="text1"/>
          <w:sz w:val="32"/>
          <w:szCs w:val="32"/>
          <w:highlight w:val="none"/>
          <w14:textFill>
            <w14:solidFill>
              <w14:schemeClr w14:val="tx1"/>
            </w14:solidFill>
          </w14:textFill>
        </w:rPr>
        <w:t>公布立项结果。</w:t>
      </w:r>
      <w:r>
        <w:rPr>
          <w:rFonts w:hint="eastAsia" w:ascii="仿宋" w:hAnsi="仿宋" w:eastAsia="仿宋"/>
          <w:color w:val="000000" w:themeColor="text1"/>
          <w:sz w:val="32"/>
          <w:szCs w:val="32"/>
          <w:highlight w:val="none"/>
          <w14:textFill>
            <w14:solidFill>
              <w14:schemeClr w14:val="tx1"/>
            </w14:solidFill>
          </w14:textFill>
        </w:rPr>
        <w:t>审定通过的优秀课程由</w:t>
      </w:r>
      <w:r>
        <w:rPr>
          <w:rFonts w:ascii="仿宋" w:hAnsi="仿宋" w:eastAsia="仿宋"/>
          <w:color w:val="000000" w:themeColor="text1"/>
          <w:sz w:val="32"/>
          <w:szCs w:val="32"/>
          <w:highlight w:val="none"/>
          <w14:textFill>
            <w14:solidFill>
              <w14:schemeClr w14:val="tx1"/>
            </w14:solidFill>
          </w14:textFill>
        </w:rPr>
        <w:t>教务处</w:t>
      </w:r>
      <w:r>
        <w:rPr>
          <w:rFonts w:hint="eastAsia" w:ascii="仿宋" w:hAnsi="仿宋" w:eastAsia="仿宋"/>
          <w:color w:val="000000" w:themeColor="text1"/>
          <w:sz w:val="32"/>
          <w:szCs w:val="32"/>
          <w:highlight w:val="none"/>
          <w14:textFill>
            <w14:solidFill>
              <w14:schemeClr w14:val="tx1"/>
            </w14:solidFill>
          </w14:textFill>
        </w:rPr>
        <w:t>负责联系专业团队进行课程拍摄、制作及网络运行</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并</w:t>
      </w:r>
      <w:r>
        <w:rPr>
          <w:rFonts w:hint="eastAsia" w:ascii="仿宋" w:hAnsi="仿宋" w:eastAsia="仿宋"/>
          <w:color w:val="000000" w:themeColor="text1"/>
          <w:sz w:val="32"/>
          <w:szCs w:val="32"/>
          <w:highlight w:val="none"/>
          <w:lang w:eastAsia="zh-CN"/>
          <w14:textFill>
            <w14:solidFill>
              <w14:schemeClr w14:val="tx1"/>
            </w14:solidFill>
          </w14:textFill>
        </w:rPr>
        <w:t>通过学</w:t>
      </w:r>
      <w:r>
        <w:rPr>
          <w:rFonts w:hint="eastAsia" w:ascii="仿宋" w:hAnsi="仿宋" w:eastAsia="仿宋"/>
          <w:color w:val="000000" w:themeColor="text1"/>
          <w:sz w:val="32"/>
          <w:szCs w:val="32"/>
          <w:highlight w:val="none"/>
          <w:lang w:val="en-US" w:eastAsia="zh-CN"/>
          <w14:textFill>
            <w14:solidFill>
              <w14:schemeClr w14:val="tx1"/>
            </w14:solidFill>
          </w14:textFill>
        </w:rPr>
        <w:t>银</w:t>
      </w:r>
      <w:r>
        <w:rPr>
          <w:rFonts w:hint="eastAsia" w:ascii="仿宋" w:hAnsi="仿宋" w:eastAsia="仿宋"/>
          <w:color w:val="000000" w:themeColor="text1"/>
          <w:sz w:val="32"/>
          <w:szCs w:val="32"/>
          <w:highlight w:val="none"/>
          <w:lang w:eastAsia="zh-CN"/>
          <w14:textFill>
            <w14:solidFill>
              <w14:schemeClr w14:val="tx1"/>
            </w14:solidFill>
          </w14:textFill>
        </w:rPr>
        <w:t>在线</w:t>
      </w:r>
      <w:r>
        <w:rPr>
          <w:rFonts w:hint="eastAsia" w:ascii="仿宋" w:hAnsi="仿宋" w:eastAsia="仿宋"/>
          <w:color w:val="000000" w:themeColor="text1"/>
          <w:sz w:val="32"/>
          <w:szCs w:val="32"/>
          <w:highlight w:val="none"/>
          <w:lang w:val="en-US" w:eastAsia="zh-CN"/>
          <w14:textFill>
            <w14:solidFill>
              <w14:schemeClr w14:val="tx1"/>
            </w14:solidFill>
          </w14:textFill>
        </w:rPr>
        <w:t>和</w:t>
      </w:r>
      <w:r>
        <w:rPr>
          <w:rFonts w:hint="eastAsia" w:ascii="仿宋" w:hAnsi="仿宋" w:eastAsia="仿宋"/>
          <w:color w:val="000000" w:themeColor="text1"/>
          <w:sz w:val="32"/>
          <w:szCs w:val="32"/>
          <w:highlight w:val="none"/>
          <w:lang w:eastAsia="zh-CN"/>
          <w14:textFill>
            <w14:solidFill>
              <w14:schemeClr w14:val="tx1"/>
            </w14:solidFill>
          </w14:textFill>
        </w:rPr>
        <w:t>智慧树平台向全</w:t>
      </w:r>
      <w:r>
        <w:rPr>
          <w:rFonts w:hint="eastAsia" w:ascii="仿宋" w:hAnsi="仿宋" w:eastAsia="仿宋"/>
          <w:color w:val="000000" w:themeColor="text1"/>
          <w:sz w:val="32"/>
          <w:szCs w:val="32"/>
          <w:highlight w:val="none"/>
          <w:lang w:val="en-US" w:eastAsia="zh-CN"/>
          <w14:textFill>
            <w14:solidFill>
              <w14:schemeClr w14:val="tx1"/>
            </w14:solidFill>
          </w14:textFill>
        </w:rPr>
        <w:t>校</w:t>
      </w:r>
      <w:r>
        <w:rPr>
          <w:rFonts w:hint="eastAsia" w:ascii="仿宋" w:hAnsi="仿宋" w:eastAsia="仿宋"/>
          <w:color w:val="000000" w:themeColor="text1"/>
          <w:sz w:val="32"/>
          <w:szCs w:val="32"/>
          <w:highlight w:val="none"/>
          <w:lang w:eastAsia="zh-CN"/>
          <w14:textFill>
            <w14:solidFill>
              <w14:schemeClr w14:val="tx1"/>
            </w14:solidFill>
          </w14:textFill>
        </w:rPr>
        <w:t>师生开放，</w:t>
      </w:r>
      <w:r>
        <w:rPr>
          <w:rFonts w:hint="eastAsia" w:ascii="仿宋" w:hAnsi="仿宋" w:eastAsia="仿宋"/>
          <w:color w:val="000000" w:themeColor="text1"/>
          <w:sz w:val="32"/>
          <w:szCs w:val="32"/>
          <w:highlight w:val="none"/>
          <w:lang w:val="en-US" w:eastAsia="zh-CN"/>
          <w14:textFill>
            <w14:solidFill>
              <w14:schemeClr w14:val="tx1"/>
            </w14:solidFill>
          </w14:textFill>
        </w:rPr>
        <w:t>同时上线学校本地教学资源库</w:t>
      </w:r>
      <w:r>
        <w:rPr>
          <w:rFonts w:hint="eastAsia" w:ascii="仿宋" w:hAnsi="仿宋" w:eastAsia="仿宋"/>
          <w:color w:val="000000" w:themeColor="text1"/>
          <w:sz w:val="32"/>
          <w:szCs w:val="32"/>
          <w:highlight w:val="none"/>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Times New Roman"/>
          <w:color w:val="000000" w:themeColor="text1"/>
          <w:kern w:val="2"/>
          <w:sz w:val="32"/>
          <w:szCs w:val="32"/>
          <w:highlight w:val="none"/>
          <w:lang w:val="en-US" w:eastAsia="zh-CN" w:bidi="ar-SA"/>
          <w14:textFill>
            <w14:solidFill>
              <w14:schemeClr w14:val="tx1"/>
            </w14:solidFill>
          </w14:textFill>
        </w:rPr>
        <w:t>2.院级精品视频公开课建设由各二级学院主管教学院长负总责，课程负责人具体负责，经学院组织专家论证并报教务处批准后执行，并保证如期完成建设任务。</w:t>
      </w:r>
      <w:r>
        <w:rPr>
          <w:rFonts w:hint="eastAsia" w:ascii="仿宋" w:hAnsi="仿宋" w:eastAsia="仿宋"/>
          <w:color w:val="000000" w:themeColor="text1"/>
          <w:sz w:val="32"/>
          <w:szCs w:val="32"/>
          <w:highlight w:val="none"/>
          <w14:textFill>
            <w14:solidFill>
              <w14:schemeClr w14:val="tx1"/>
            </w14:solidFill>
          </w14:textFill>
        </w:rPr>
        <w:t>审定通过的优秀</w:t>
      </w:r>
      <w:r>
        <w:rPr>
          <w:rFonts w:hint="eastAsia" w:ascii="仿宋" w:hAnsi="仿宋" w:eastAsia="仿宋" w:cs="Times New Roman"/>
          <w:color w:val="000000" w:themeColor="text1"/>
          <w:kern w:val="2"/>
          <w:sz w:val="32"/>
          <w:szCs w:val="32"/>
          <w:highlight w:val="none"/>
          <w:lang w:val="en-US" w:eastAsia="zh-CN" w:bidi="ar-SA"/>
          <w14:textFill>
            <w14:solidFill>
              <w14:schemeClr w14:val="tx1"/>
            </w14:solidFill>
          </w14:textFill>
        </w:rPr>
        <w:t>院级精品视频</w:t>
      </w:r>
      <w:r>
        <w:rPr>
          <w:rFonts w:hint="eastAsia" w:ascii="仿宋" w:hAnsi="仿宋" w:eastAsia="仿宋"/>
          <w:color w:val="000000" w:themeColor="text1"/>
          <w:sz w:val="32"/>
          <w:szCs w:val="32"/>
          <w:highlight w:val="none"/>
          <w14:textFill>
            <w14:solidFill>
              <w14:schemeClr w14:val="tx1"/>
            </w14:solidFill>
          </w14:textFill>
        </w:rPr>
        <w:t>课程</w:t>
      </w:r>
      <w:r>
        <w:rPr>
          <w:rFonts w:hint="eastAsia" w:ascii="仿宋" w:hAnsi="仿宋" w:eastAsia="仿宋"/>
          <w:color w:val="000000" w:themeColor="text1"/>
          <w:sz w:val="32"/>
          <w:szCs w:val="32"/>
          <w:highlight w:val="none"/>
          <w:lang w:val="en-US" w:eastAsia="zh-CN"/>
          <w14:textFill>
            <w14:solidFill>
              <w14:schemeClr w14:val="tx1"/>
            </w14:solidFill>
          </w14:textFill>
        </w:rPr>
        <w:t>将上线学校本地教学资源库</w:t>
      </w:r>
      <w:r>
        <w:rPr>
          <w:rFonts w:hint="eastAsia" w:ascii="仿宋" w:hAnsi="仿宋" w:eastAsia="仿宋" w:cs="Times New Roman"/>
          <w:color w:val="000000" w:themeColor="text1"/>
          <w:kern w:val="2"/>
          <w:sz w:val="32"/>
          <w:szCs w:val="32"/>
          <w:highlight w:val="none"/>
          <w:lang w:val="en-US" w:eastAsia="zh-CN" w:bidi="ar-SA"/>
          <w14:textFill>
            <w14:solidFill>
              <w14:schemeClr w14:val="tx1"/>
            </w14:solidFill>
          </w14:textFill>
        </w:rPr>
        <w:t>。</w:t>
      </w:r>
    </w:p>
    <w:p>
      <w:pPr>
        <w:tabs>
          <w:tab w:val="left" w:pos="8610"/>
        </w:tabs>
        <w:spacing w:line="560" w:lineRule="exact"/>
        <w:ind w:firstLine="640" w:firstLineChars="200"/>
        <w:rPr>
          <w:rFonts w:ascii="黑体" w:hAnsi="宋体" w:eastAsia="黑体"/>
          <w:sz w:val="32"/>
          <w:szCs w:val="32"/>
        </w:rPr>
      </w:pPr>
      <w:r>
        <w:rPr>
          <w:rFonts w:hint="eastAsia" w:ascii="黑体" w:hAnsi="宋体" w:eastAsia="黑体"/>
          <w:sz w:val="32"/>
          <w:szCs w:val="32"/>
        </w:rPr>
        <w:t>四、项目建设基本目标</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达到项目申报立项时的建设目标，在教学过程中应用良好，获得学生好评，能够在</w:t>
      </w:r>
      <w:r>
        <w:rPr>
          <w:rFonts w:hint="eastAsia" w:ascii="仿宋" w:hAnsi="仿宋" w:eastAsia="仿宋"/>
          <w:sz w:val="32"/>
          <w:szCs w:val="32"/>
          <w:lang w:val="en-US" w:eastAsia="zh-CN"/>
        </w:rPr>
        <w:t>校</w:t>
      </w:r>
      <w:r>
        <w:rPr>
          <w:rFonts w:hint="eastAsia" w:ascii="仿宋" w:hAnsi="仿宋" w:eastAsia="仿宋"/>
          <w:sz w:val="32"/>
          <w:szCs w:val="32"/>
        </w:rPr>
        <w:t>、省等教改项目评比中获奖。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600"/>
        <w:jc w:val="left"/>
        <w:rPr>
          <w:rFonts w:ascii="Arial" w:hAnsi="Arial" w:cs="Arial"/>
          <w:i w:val="0"/>
          <w:iCs w:val="0"/>
          <w:caps w:val="0"/>
          <w:color w:val="333333"/>
          <w:spacing w:val="0"/>
          <w:sz w:val="21"/>
          <w:szCs w:val="21"/>
          <w:highlight w:val="none"/>
        </w:rPr>
      </w:pPr>
      <w:r>
        <w:rPr>
          <w:rFonts w:hint="eastAsia" w:ascii="黑体" w:hAnsi="宋体" w:eastAsia="黑体"/>
          <w:sz w:val="32"/>
          <w:szCs w:val="32"/>
          <w:highlight w:val="none"/>
          <w:lang w:val="en-US" w:eastAsia="zh-CN"/>
        </w:rPr>
        <w:t>五、组织与管理 </w:t>
      </w:r>
      <w:r>
        <w:rPr>
          <w:rFonts w:hint="eastAsia" w:ascii="黑体" w:hAnsi="宋体" w:eastAsia="黑体" w:cs="黑体"/>
          <w:b w:val="0"/>
          <w:bCs w:val="0"/>
          <w:i w:val="0"/>
          <w:iCs w:val="0"/>
          <w:caps w:val="0"/>
          <w:color w:val="333333"/>
          <w:spacing w:val="0"/>
          <w:kern w:val="0"/>
          <w:sz w:val="30"/>
          <w:szCs w:val="30"/>
          <w:highlight w:val="none"/>
          <w:lang w:val="en-US" w:eastAsia="zh-CN" w:bidi="ar"/>
        </w:rPr>
        <w:t> </w:t>
      </w:r>
    </w:p>
    <w:p>
      <w:pPr>
        <w:spacing w:line="560" w:lineRule="exact"/>
        <w:ind w:firstLine="640" w:firstLineChars="200"/>
        <w:rPr>
          <w:rFonts w:hint="default" w:ascii="仿宋" w:hAnsi="仿宋" w:eastAsia="仿宋"/>
          <w:sz w:val="32"/>
          <w:szCs w:val="32"/>
          <w:highlight w:val="none"/>
        </w:rPr>
      </w:pPr>
      <w:r>
        <w:rPr>
          <w:rFonts w:hint="eastAsia" w:ascii="仿宋" w:hAnsi="仿宋" w:eastAsia="仿宋"/>
          <w:sz w:val="32"/>
          <w:szCs w:val="32"/>
          <w:highlight w:val="none"/>
          <w:lang w:val="en-US" w:eastAsia="zh-CN"/>
        </w:rPr>
        <w:t>（一）各教学单位作为精品视频公开课项目建设的主体，要高度重视精品视频公开课的申报、推荐等组织工作，对申报项目要实行严格的课程内容审查制度，把好课程政治关、学术关和质量关，择优申报。  </w:t>
      </w:r>
    </w:p>
    <w:p>
      <w:pPr>
        <w:spacing w:line="560" w:lineRule="exact"/>
        <w:ind w:firstLine="640" w:firstLineChars="200"/>
        <w:rPr>
          <w:rFonts w:hint="default" w:ascii="仿宋" w:hAnsi="仿宋" w:eastAsia="仿宋"/>
          <w:sz w:val="32"/>
          <w:szCs w:val="32"/>
          <w:highlight w:val="none"/>
        </w:rPr>
      </w:pPr>
      <w:r>
        <w:rPr>
          <w:rFonts w:hint="eastAsia" w:ascii="仿宋" w:hAnsi="仿宋" w:eastAsia="仿宋"/>
          <w:sz w:val="32"/>
          <w:szCs w:val="32"/>
          <w:highlight w:val="none"/>
          <w:lang w:val="en-US" w:eastAsia="zh-CN"/>
        </w:rPr>
        <w:t>（二）精品视频公开课建设实行课程负责人制，确保课程质量。课程负责人要精心准备，组织课程团队，认真准备授课内容，保证精品视频公开课按时高质量拍摄、制作完成。  </w:t>
      </w:r>
    </w:p>
    <w:p>
      <w:pPr>
        <w:spacing w:line="560" w:lineRule="exact"/>
        <w:ind w:firstLine="640" w:firstLineChars="200"/>
        <w:rPr>
          <w:rFonts w:hint="default" w:ascii="仿宋" w:hAnsi="仿宋" w:eastAsia="仿宋"/>
          <w:sz w:val="32"/>
          <w:szCs w:val="32"/>
          <w:highlight w:val="none"/>
        </w:rPr>
      </w:pPr>
      <w:r>
        <w:rPr>
          <w:rFonts w:hint="eastAsia" w:ascii="仿宋" w:hAnsi="仿宋" w:eastAsia="仿宋"/>
          <w:sz w:val="32"/>
          <w:szCs w:val="32"/>
          <w:highlight w:val="none"/>
          <w:lang w:val="en-US" w:eastAsia="zh-CN"/>
        </w:rPr>
        <w:t>（三）教务处根据精品视频公开课建设的总体规划，制定精品视频公开课遴选、评价标准和年度建设计划，并负责课程的立项、管理、中期检查和验收。  </w:t>
      </w:r>
    </w:p>
    <w:p>
      <w:pPr>
        <w:spacing w:line="560" w:lineRule="exact"/>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（四）凡申请立项课程，在申报前需明确课程中所包含任何资源均没有侵犯其他人或机构版权。为保护参与人的肖像权，课程负责人须事先告知参与视频课拍摄的教师和学生有关课程视频有可能网上公开等事宜。</w:t>
      </w:r>
    </w:p>
    <w:p>
      <w:pPr>
        <w:spacing w:line="560" w:lineRule="exact"/>
        <w:ind w:firstLine="640" w:firstLineChars="200"/>
        <w:rPr>
          <w:highlight w:val="none"/>
        </w:rPr>
      </w:pPr>
      <w:r>
        <w:rPr>
          <w:rFonts w:hint="eastAsia" w:ascii="仿宋" w:hAnsi="仿宋" w:eastAsia="仿宋"/>
          <w:sz w:val="32"/>
          <w:szCs w:val="32"/>
          <w:highlight w:val="none"/>
          <w:lang w:val="en-US" w:eastAsia="zh-CN"/>
        </w:rPr>
        <w:t>（五）</w:t>
      </w:r>
      <w:r>
        <w:rPr>
          <w:rFonts w:hint="eastAsia" w:ascii="仿宋" w:hAnsi="仿宋" w:eastAsia="仿宋" w:cs="仿宋"/>
          <w:color w:val="000000" w:themeColor="text1"/>
          <w:sz w:val="32"/>
          <w:szCs w:val="32"/>
          <w:lang w:val="en-US" w:eastAsia="zh-CN"/>
          <w14:textFill>
            <w14:solidFill>
              <w14:schemeClr w14:val="tx1"/>
            </w14:solidFill>
          </w14:textFill>
        </w:rPr>
        <w:t>精品视频公开课采取教师自愿申报、自愿共享的原则，</w:t>
      </w:r>
      <w:r>
        <w:rPr>
          <w:rFonts w:hint="eastAsia" w:ascii="仿宋" w:hAnsi="仿宋" w:eastAsia="仿宋"/>
          <w:sz w:val="32"/>
          <w:szCs w:val="32"/>
          <w:highlight w:val="none"/>
          <w:lang w:val="en-US" w:eastAsia="zh-CN"/>
        </w:rPr>
        <w:t>立项建设的精品视频公开课</w:t>
      </w:r>
      <w:r>
        <w:rPr>
          <w:rFonts w:hint="eastAsia" w:ascii="仿宋" w:hAnsi="仿宋" w:eastAsia="仿宋" w:cs="仿宋"/>
          <w:color w:val="000000"/>
          <w:sz w:val="32"/>
          <w:szCs w:val="32"/>
          <w:highlight w:val="none"/>
          <w:lang w:val="en-US" w:eastAsia="zh-CN"/>
        </w:rPr>
        <w:t>知识产权归学校所有。</w:t>
      </w:r>
    </w:p>
    <w:p>
      <w:pPr>
        <w:rPr>
          <w:highlight w:val="none"/>
        </w:rPr>
      </w:pPr>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
      <w:pPr>
        <w:pStyle w:val="2"/>
        <w:rPr>
          <w:rFonts w:hint="eastAsia"/>
        </w:rPr>
      </w:pPr>
    </w:p>
    <w:p>
      <w:pPr>
        <w:jc w:val="center"/>
        <w:rPr>
          <w:rFonts w:hint="eastAsia" w:ascii="方正小标宋_GBK" w:hAnsi="方正小标宋_GBK" w:eastAsia="方正小标宋_GBK" w:cs="方正小标宋_GBK"/>
          <w:sz w:val="44"/>
          <w:szCs w:val="40"/>
        </w:rPr>
      </w:pPr>
      <w:r>
        <w:rPr>
          <w:rFonts w:hint="eastAsia" w:ascii="方正小标宋_GBK" w:hAnsi="方正小标宋_GBK" w:eastAsia="方正小标宋_GBK" w:cs="方正小标宋_GBK"/>
          <w:sz w:val="44"/>
          <w:szCs w:val="40"/>
        </w:rPr>
        <w:t>云南医药健康职业学院精品视频公开课</w:t>
      </w:r>
    </w:p>
    <w:p>
      <w:pPr>
        <w:jc w:val="center"/>
        <w:rPr>
          <w:rFonts w:hint="eastAsia" w:ascii="方正小标宋_GBK" w:hAnsi="方正小标宋_GBK" w:eastAsia="方正小标宋_GBK" w:cs="方正小标宋_GBK"/>
          <w:sz w:val="44"/>
          <w:szCs w:val="40"/>
        </w:rPr>
      </w:pPr>
      <w:r>
        <w:rPr>
          <w:rFonts w:hint="eastAsia" w:ascii="方正小标宋_GBK" w:hAnsi="方正小标宋_GBK" w:eastAsia="方正小标宋_GBK" w:cs="方正小标宋_GBK"/>
          <w:sz w:val="44"/>
          <w:szCs w:val="40"/>
        </w:rPr>
        <w:t>验收指标</w:t>
      </w:r>
    </w:p>
    <w:p>
      <w:pPr>
        <w:spacing w:line="360" w:lineRule="auto"/>
        <w:rPr>
          <w:rFonts w:ascii="宋体" w:hAnsi="宋体"/>
          <w:b/>
          <w:bCs/>
          <w:sz w:val="36"/>
          <w:szCs w:val="36"/>
        </w:rPr>
      </w:pPr>
      <w:r>
        <w:rPr>
          <w:rFonts w:hint="eastAsia" w:ascii="宋体" w:hAnsi="宋体"/>
          <w:sz w:val="28"/>
          <w:szCs w:val="28"/>
        </w:rPr>
        <w:t>课程名称：</w:t>
      </w:r>
      <w:r>
        <w:rPr>
          <w:rFonts w:hint="eastAsia" w:ascii="宋体" w:hAnsi="宋体"/>
          <w:sz w:val="28"/>
          <w:szCs w:val="28"/>
          <w:u w:val="single"/>
        </w:rPr>
        <w:t xml:space="preserve">                         </w:t>
      </w:r>
      <w:r>
        <w:rPr>
          <w:rFonts w:hint="eastAsia" w:ascii="宋体" w:hAnsi="宋体"/>
          <w:sz w:val="28"/>
          <w:szCs w:val="28"/>
        </w:rPr>
        <w:t xml:space="preserve"> 课程负责人：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tbl>
      <w:tblPr>
        <w:tblStyle w:val="6"/>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329"/>
        <w:gridCol w:w="6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19" w:type="dxa"/>
            <w:shd w:val="clear" w:color="auto" w:fill="auto"/>
            <w:vAlign w:val="center"/>
          </w:tcPr>
          <w:p>
            <w:pPr>
              <w:widowControl/>
              <w:jc w:val="center"/>
              <w:rPr>
                <w:rFonts w:ascii="Times New Roman" w:hAnsi="Times New Roman" w:eastAsia="黑体"/>
                <w:kern w:val="0"/>
                <w:szCs w:val="21"/>
                <w:highlight w:val="none"/>
              </w:rPr>
            </w:pPr>
            <w:r>
              <w:rPr>
                <w:rFonts w:ascii="Times New Roman" w:hAnsi="Times New Roman" w:eastAsia="黑体"/>
                <w:kern w:val="0"/>
                <w:szCs w:val="21"/>
                <w:highlight w:val="none"/>
              </w:rPr>
              <w:t>一级指标</w:t>
            </w:r>
          </w:p>
        </w:tc>
        <w:tc>
          <w:tcPr>
            <w:tcW w:w="1329" w:type="dxa"/>
            <w:shd w:val="clear" w:color="auto" w:fill="auto"/>
            <w:vAlign w:val="center"/>
          </w:tcPr>
          <w:p>
            <w:pPr>
              <w:widowControl/>
              <w:jc w:val="center"/>
              <w:rPr>
                <w:rFonts w:ascii="Times New Roman" w:hAnsi="Times New Roman" w:eastAsia="黑体"/>
                <w:kern w:val="0"/>
                <w:szCs w:val="21"/>
                <w:highlight w:val="none"/>
              </w:rPr>
            </w:pPr>
            <w:r>
              <w:rPr>
                <w:rFonts w:ascii="Times New Roman" w:hAnsi="Times New Roman" w:eastAsia="黑体"/>
                <w:kern w:val="0"/>
                <w:szCs w:val="21"/>
                <w:highlight w:val="none"/>
              </w:rPr>
              <w:t>二级指标</w:t>
            </w:r>
          </w:p>
        </w:tc>
        <w:tc>
          <w:tcPr>
            <w:tcW w:w="6232" w:type="dxa"/>
            <w:shd w:val="clear" w:color="auto" w:fill="auto"/>
            <w:vAlign w:val="center"/>
          </w:tcPr>
          <w:p>
            <w:pPr>
              <w:widowControl/>
              <w:jc w:val="center"/>
              <w:rPr>
                <w:rFonts w:ascii="Times New Roman" w:hAnsi="Times New Roman" w:eastAsia="黑体"/>
                <w:kern w:val="0"/>
                <w:szCs w:val="21"/>
                <w:highlight w:val="none"/>
              </w:rPr>
            </w:pPr>
            <w:r>
              <w:rPr>
                <w:rFonts w:ascii="Times New Roman" w:hAnsi="Times New Roman" w:eastAsia="黑体"/>
                <w:kern w:val="0"/>
                <w:szCs w:val="21"/>
                <w:highlight w:val="none"/>
              </w:rPr>
              <w:t>观测点及要求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课程设计</w:t>
            </w: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课程定位与目标</w:t>
            </w:r>
          </w:p>
        </w:tc>
        <w:tc>
          <w:tcPr>
            <w:tcW w:w="6232" w:type="dxa"/>
            <w:shd w:val="clear" w:color="auto" w:fill="auto"/>
            <w:vAlign w:val="center"/>
          </w:tcPr>
          <w:p>
            <w:pPr>
              <w:pStyle w:val="11"/>
              <w:widowControl/>
              <w:numPr>
                <w:ilvl w:val="255"/>
                <w:numId w:val="0"/>
              </w:numPr>
              <w:rPr>
                <w:rFonts w:ascii="Times New Roman" w:hAnsi="Times New Roman" w:eastAsia="仿宋"/>
                <w:kern w:val="0"/>
                <w:highlight w:val="none"/>
              </w:rPr>
            </w:pPr>
            <w:r>
              <w:rPr>
                <w:rFonts w:ascii="Times New Roman" w:hAnsi="Times New Roman" w:eastAsia="仿宋"/>
                <w:kern w:val="0"/>
                <w:highlight w:val="none"/>
              </w:rPr>
              <w:t>1.落实立德树人根本任务，符合相应专业教学标准、人才培养方案、课程标准要求，课程性质明确，与前、后接续课程衔接得当。</w:t>
            </w:r>
          </w:p>
          <w:p>
            <w:pPr>
              <w:pStyle w:val="11"/>
              <w:widowControl/>
              <w:numPr>
                <w:ilvl w:val="255"/>
                <w:numId w:val="0"/>
              </w:numPr>
              <w:rPr>
                <w:rFonts w:ascii="Times New Roman" w:hAnsi="Times New Roman" w:eastAsia="仿宋"/>
                <w:kern w:val="0"/>
                <w:highlight w:val="none"/>
              </w:rPr>
            </w:pPr>
            <w:r>
              <w:rPr>
                <w:rFonts w:ascii="Times New Roman" w:hAnsi="Times New Roman" w:eastAsia="仿宋"/>
                <w:kern w:val="0"/>
                <w:highlight w:val="none"/>
              </w:rPr>
              <w:t>2.课程目标定位准确、条目清晰、内容具体、可评可测。</w:t>
            </w:r>
          </w:p>
          <w:p>
            <w:pPr>
              <w:pStyle w:val="11"/>
              <w:widowControl/>
              <w:numPr>
                <w:ilvl w:val="255"/>
                <w:numId w:val="0"/>
              </w:numPr>
              <w:rPr>
                <w:rFonts w:hint="eastAsia" w:ascii="Times New Roman" w:hAnsi="Times New Roman" w:eastAsia="仿宋"/>
                <w:kern w:val="0"/>
                <w:highlight w:val="none"/>
                <w:lang w:eastAsia="zh-CN"/>
              </w:rPr>
            </w:pPr>
            <w:r>
              <w:rPr>
                <w:rFonts w:ascii="Times New Roman" w:hAnsi="Times New Roman" w:eastAsia="仿宋"/>
                <w:kern w:val="0"/>
                <w:highlight w:val="none"/>
              </w:rPr>
              <w:t>3.公共基础课程注重打好科学文化基础、培养学生思想政治素质、学科核心素养；专业课程注重提升专业能力、掌握专业技能，培养学生职业道德、综合素养</w:t>
            </w:r>
            <w:r>
              <w:rPr>
                <w:rFonts w:hint="eastAsia" w:ascii="Times New Roman" w:hAnsi="Times New Roman" w:eastAsia="仿宋"/>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课程结构与内容</w:t>
            </w:r>
          </w:p>
        </w:tc>
        <w:tc>
          <w:tcPr>
            <w:tcW w:w="6232" w:type="dxa"/>
            <w:vAlign w:val="center"/>
          </w:tcPr>
          <w:p>
            <w:pPr>
              <w:pStyle w:val="11"/>
              <w:widowControl/>
              <w:numPr>
                <w:ilvl w:val="255"/>
                <w:numId w:val="0"/>
              </w:numPr>
              <w:rPr>
                <w:rFonts w:ascii="Times New Roman" w:hAnsi="Times New Roman" w:eastAsia="仿宋"/>
                <w:kern w:val="0"/>
                <w:highlight w:val="none"/>
              </w:rPr>
            </w:pPr>
            <w:r>
              <w:rPr>
                <w:rFonts w:ascii="Times New Roman" w:hAnsi="Times New Roman" w:eastAsia="仿宋"/>
                <w:kern w:val="0"/>
                <w:highlight w:val="none"/>
              </w:rPr>
              <w:t>1.课程内容组织与安排凸显职业教育类型特征，公共基础课程内容及时反映新知识，专业课程对接新产业、新业态、新模式、新职业，反映相关领域新技术、新工艺、新规范，体现行业企业参与特征，紧贴本专业相关技术领域职业岗位的能力要求。</w:t>
            </w:r>
          </w:p>
          <w:p>
            <w:pPr>
              <w:pStyle w:val="11"/>
              <w:widowControl/>
              <w:numPr>
                <w:ilvl w:val="255"/>
                <w:numId w:val="0"/>
              </w:numPr>
              <w:rPr>
                <w:rFonts w:ascii="Times New Roman" w:hAnsi="Times New Roman" w:eastAsia="仿宋"/>
                <w:kern w:val="0"/>
                <w:highlight w:val="none"/>
              </w:rPr>
            </w:pPr>
            <w:r>
              <w:rPr>
                <w:rFonts w:ascii="Times New Roman" w:hAnsi="Times New Roman" w:eastAsia="仿宋"/>
                <w:kern w:val="0"/>
                <w:highlight w:val="none"/>
              </w:rPr>
              <w:t>2.落实课程思政要求，结合不同课程特点、思维方法和价值理念，挖掘课程思政元素，有机融入课程。</w:t>
            </w:r>
          </w:p>
          <w:p>
            <w:pPr>
              <w:pStyle w:val="11"/>
              <w:widowControl/>
              <w:numPr>
                <w:ilvl w:val="255"/>
                <w:numId w:val="0"/>
              </w:numPr>
              <w:rPr>
                <w:rFonts w:hint="eastAsia" w:ascii="Times New Roman" w:hAnsi="Times New Roman" w:eastAsia="仿宋"/>
                <w:kern w:val="0"/>
                <w:highlight w:val="none"/>
                <w:lang w:eastAsia="zh-CN"/>
              </w:rPr>
            </w:pPr>
            <w:r>
              <w:rPr>
                <w:rFonts w:ascii="Times New Roman" w:hAnsi="Times New Roman" w:eastAsia="仿宋"/>
                <w:kern w:val="0"/>
                <w:highlight w:val="none"/>
              </w:rPr>
              <w:t>3.课程内容完整、结构合理、逻辑清晰，学习单元划分合理、衔接有序、教学学时分配合理。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jc w:val="center"/>
              <w:rPr>
                <w:rFonts w:ascii="Times New Roman" w:hAnsi="Times New Roman" w:eastAsia="仿宋"/>
                <w:kern w:val="0"/>
                <w:szCs w:val="21"/>
                <w:highlight w:val="none"/>
              </w:rPr>
            </w:pPr>
            <w:r>
              <w:rPr>
                <w:rFonts w:ascii="Times New Roman" w:hAnsi="Times New Roman" w:eastAsia="仿宋"/>
                <w:kern w:val="0"/>
                <w:szCs w:val="21"/>
                <w:highlight w:val="none"/>
              </w:rPr>
              <w:t>课程建设</w:t>
            </w: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基本信息与规范</w:t>
            </w:r>
          </w:p>
        </w:tc>
        <w:tc>
          <w:tcPr>
            <w:tcW w:w="6232" w:type="dxa"/>
            <w:vAlign w:val="center"/>
          </w:tcPr>
          <w:p>
            <w:pPr>
              <w:pStyle w:val="11"/>
              <w:widowControl/>
              <w:numPr>
                <w:ilvl w:val="255"/>
                <w:numId w:val="0"/>
              </w:numPr>
              <w:rPr>
                <w:rFonts w:ascii="Times New Roman" w:hAnsi="Times New Roman" w:eastAsia="仿宋"/>
                <w:kern w:val="0"/>
                <w:highlight w:val="none"/>
              </w:rPr>
            </w:pPr>
            <w:r>
              <w:rPr>
                <w:rFonts w:ascii="Times New Roman" w:hAnsi="Times New Roman" w:eastAsia="仿宋"/>
                <w:kern w:val="0"/>
                <w:szCs w:val="21"/>
                <w:highlight w:val="none"/>
              </w:rPr>
              <w:t>1.课程</w:t>
            </w:r>
            <w:r>
              <w:rPr>
                <w:rFonts w:ascii="Times New Roman" w:hAnsi="Times New Roman" w:eastAsia="仿宋"/>
                <w:kern w:val="0"/>
                <w:highlight w:val="none"/>
              </w:rPr>
              <w:t>基本信息完整，课程页面</w:t>
            </w:r>
            <w:r>
              <w:rPr>
                <w:rFonts w:ascii="Times New Roman" w:hAnsi="Times New Roman" w:eastAsia="仿宋"/>
                <w:kern w:val="0"/>
                <w:szCs w:val="21"/>
                <w:highlight w:val="none"/>
              </w:rPr>
              <w:t>应包括</w:t>
            </w:r>
            <w:r>
              <w:rPr>
                <w:rFonts w:ascii="Times New Roman" w:hAnsi="Times New Roman" w:eastAsia="仿宋"/>
                <w:kern w:val="0"/>
                <w:highlight w:val="none"/>
              </w:rPr>
              <w:t>配套教材、</w:t>
            </w:r>
            <w:r>
              <w:rPr>
                <w:rFonts w:ascii="Times New Roman" w:hAnsi="Times New Roman" w:eastAsia="仿宋"/>
                <w:kern w:val="0"/>
                <w:szCs w:val="21"/>
                <w:highlight w:val="none"/>
              </w:rPr>
              <w:t>课程介绍、</w:t>
            </w:r>
            <w:r>
              <w:rPr>
                <w:rFonts w:ascii="Times New Roman" w:hAnsi="Times New Roman" w:eastAsia="仿宋"/>
                <w:kern w:val="0"/>
                <w:highlight w:val="none"/>
              </w:rPr>
              <w:t>教学团队、相关教材、相关职业类证书等信息。</w:t>
            </w:r>
          </w:p>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2.课程页面布局合理、信息量适度、色彩搭配协调。</w:t>
            </w:r>
          </w:p>
          <w:p>
            <w:pPr>
              <w:pStyle w:val="11"/>
              <w:widowControl/>
              <w:numPr>
                <w:ilvl w:val="255"/>
                <w:numId w:val="0"/>
              </w:numPr>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3.导航清晰明确，符号规范</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资源建设与应用</w:t>
            </w:r>
          </w:p>
        </w:tc>
        <w:tc>
          <w:tcPr>
            <w:tcW w:w="6232" w:type="dxa"/>
            <w:vAlign w:val="center"/>
          </w:tcPr>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课程资源以自主设计与开发为主，与课程内容相匹配、全覆盖，内在逻辑合理、内容完整精炼，能够满足学校教学和学习者学习需求，做到能学辅教；体现课程思政建设要求，体现行业发展的前沿技术和最新成果。</w:t>
            </w:r>
          </w:p>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2.课程资源类型丰富、内容多样，针对各模块知识点或技能点设置对应的授课视频、动画、虚拟仿真、演示文稿、测验和作业等多样的教学资源。</w:t>
            </w:r>
          </w:p>
          <w:p>
            <w:pPr>
              <w:pStyle w:val="11"/>
              <w:widowControl/>
              <w:numPr>
                <w:ilvl w:val="255"/>
                <w:numId w:val="0"/>
              </w:numPr>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3.科学规划在线学习资源，动画、视频、虚拟仿真等类型资源</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成员构成与要求</w:t>
            </w:r>
          </w:p>
        </w:tc>
        <w:tc>
          <w:tcPr>
            <w:tcW w:w="6232" w:type="dxa"/>
            <w:vAlign w:val="center"/>
          </w:tcPr>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1.团队结构合理，师德师风优良，教学表现力和亲和力强，教学成果积累丰富，教学改革意识强，信息素养高。</w:t>
            </w:r>
          </w:p>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2.课程负责人原则上应具有</w:t>
            </w:r>
            <w:r>
              <w:rPr>
                <w:rFonts w:hint="eastAsia" w:ascii="Times New Roman" w:hAnsi="Times New Roman" w:eastAsia="仿宋"/>
                <w:kern w:val="0"/>
                <w:szCs w:val="21"/>
                <w:highlight w:val="none"/>
                <w:lang w:val="en-US" w:eastAsia="zh-CN"/>
              </w:rPr>
              <w:t>讲师</w:t>
            </w:r>
            <w:r>
              <w:rPr>
                <w:rFonts w:ascii="Times New Roman" w:hAnsi="Times New Roman" w:eastAsia="仿宋"/>
                <w:kern w:val="0"/>
                <w:szCs w:val="21"/>
                <w:highlight w:val="none"/>
              </w:rPr>
              <w:t>及以上职称，具有丰富的教学经验和扎实专业功底，在本专业领域具有一定影响力，同一课程负责人限牵头申报一门课程。</w:t>
            </w:r>
          </w:p>
          <w:p>
            <w:pPr>
              <w:pStyle w:val="11"/>
              <w:widowControl/>
              <w:numPr>
                <w:ilvl w:val="255"/>
                <w:numId w:val="0"/>
              </w:numPr>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3.专业课“双师”型教师及企业兼职教师各具特色，团队主要成员须与课程平台显示人员一致</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课程管理与保障</w:t>
            </w:r>
          </w:p>
        </w:tc>
        <w:tc>
          <w:tcPr>
            <w:tcW w:w="6232" w:type="dxa"/>
            <w:vAlign w:val="center"/>
          </w:tcPr>
          <w:p>
            <w:pPr>
              <w:pStyle w:val="11"/>
              <w:widowControl/>
              <w:numPr>
                <w:ilvl w:val="255"/>
                <w:numId w:val="0"/>
              </w:numPr>
              <w:rPr>
                <w:rFonts w:ascii="Times New Roman" w:hAnsi="Times New Roman" w:eastAsia="仿宋"/>
                <w:kern w:val="0"/>
                <w:szCs w:val="21"/>
                <w:highlight w:val="none"/>
              </w:rPr>
            </w:pPr>
            <w:r>
              <w:rPr>
                <w:rFonts w:hint="eastAsia" w:ascii="Times New Roman" w:hAnsi="Times New Roman" w:eastAsia="仿宋"/>
                <w:kern w:val="0"/>
                <w:szCs w:val="21"/>
                <w:highlight w:val="none"/>
                <w:lang w:val="en-US" w:eastAsia="zh-CN"/>
              </w:rPr>
              <w:t>1.</w:t>
            </w:r>
            <w:r>
              <w:rPr>
                <w:rFonts w:ascii="Times New Roman" w:hAnsi="Times New Roman" w:eastAsia="仿宋"/>
                <w:kern w:val="0"/>
                <w:szCs w:val="21"/>
                <w:highlight w:val="none"/>
              </w:rPr>
              <w:t>重视版权和知识产权等问题，与院校、企业、团队合作签署的知识产权保障协议（或书面约定）规范严谨、平等互利。</w:t>
            </w:r>
          </w:p>
          <w:p>
            <w:pPr>
              <w:pStyle w:val="11"/>
              <w:widowControl/>
              <w:numPr>
                <w:ilvl w:val="255"/>
                <w:numId w:val="0"/>
              </w:numPr>
              <w:rPr>
                <w:rFonts w:hint="eastAsia" w:ascii="Times New Roman" w:hAnsi="Times New Roman" w:eastAsia="仿宋"/>
                <w:kern w:val="0"/>
                <w:szCs w:val="21"/>
                <w:highlight w:val="none"/>
                <w:lang w:eastAsia="zh-CN"/>
              </w:rPr>
            </w:pPr>
            <w:r>
              <w:rPr>
                <w:rFonts w:hint="eastAsia" w:ascii="Times New Roman" w:hAnsi="Times New Roman" w:eastAsia="仿宋"/>
                <w:kern w:val="0"/>
                <w:szCs w:val="21"/>
                <w:highlight w:val="none"/>
                <w:lang w:val="en-US" w:eastAsia="zh-CN"/>
              </w:rPr>
              <w:t>2</w:t>
            </w:r>
            <w:r>
              <w:rPr>
                <w:rFonts w:ascii="Times New Roman" w:hAnsi="Times New Roman" w:eastAsia="仿宋"/>
                <w:kern w:val="0"/>
                <w:szCs w:val="21"/>
                <w:highlight w:val="none"/>
              </w:rPr>
              <w:t>.</w:t>
            </w:r>
            <w:r>
              <w:rPr>
                <w:rFonts w:ascii="Times New Roman" w:hAnsi="Times New Roman" w:eastAsia="仿宋"/>
                <w:kern w:val="0"/>
                <w:highlight w:val="none"/>
              </w:rPr>
              <w:t>教材选用合理，符合有关规定</w:t>
            </w:r>
            <w:r>
              <w:rPr>
                <w:rFonts w:hint="eastAsia" w:ascii="Times New Roman" w:hAnsi="Times New Roman" w:eastAsia="仿宋"/>
                <w:kern w:val="0"/>
                <w:highlight w:val="none"/>
                <w:lang w:eastAsia="zh-CN"/>
              </w:rPr>
              <w:t>；</w:t>
            </w:r>
            <w:r>
              <w:rPr>
                <w:rFonts w:ascii="Times New Roman" w:hAnsi="Times New Roman" w:eastAsia="仿宋"/>
                <w:kern w:val="0"/>
                <w:szCs w:val="21"/>
                <w:highlight w:val="none"/>
              </w:rPr>
              <w:t>引用资源规范，符合教学需求</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jc w:val="center"/>
              <w:rPr>
                <w:rFonts w:ascii="Times New Roman" w:hAnsi="Times New Roman" w:eastAsia="仿宋"/>
                <w:kern w:val="0"/>
                <w:szCs w:val="21"/>
                <w:highlight w:val="none"/>
              </w:rPr>
            </w:pPr>
            <w:r>
              <w:rPr>
                <w:rFonts w:ascii="Times New Roman" w:hAnsi="Times New Roman" w:eastAsia="仿宋"/>
                <w:kern w:val="0"/>
                <w:szCs w:val="21"/>
                <w:highlight w:val="none"/>
              </w:rPr>
              <w:t>课程实施</w:t>
            </w: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教学组织与安排</w:t>
            </w:r>
          </w:p>
        </w:tc>
        <w:tc>
          <w:tcPr>
            <w:tcW w:w="6232" w:type="dxa"/>
            <w:shd w:val="clear" w:color="auto" w:fill="auto"/>
          </w:tcPr>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1.围绕学习任务，细化具体教学目标，合理把握教学进度、组织具体教学。</w:t>
            </w:r>
          </w:p>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2.科学设计教学模式，恰当进行课程导入，课程重点难点讲授准确全面，合理使用案例式、混合式、探究式等多种教学模式。</w:t>
            </w:r>
          </w:p>
          <w:p>
            <w:pPr>
              <w:pStyle w:val="11"/>
              <w:widowControl/>
              <w:numPr>
                <w:ilvl w:val="255"/>
                <w:numId w:val="0"/>
              </w:numPr>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3.出镜教师教学过程中教仪教态自然大方，语言表达清晰、深入浅出，注重教学互动、激发学生学习积极性</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教学活动与过程</w:t>
            </w:r>
          </w:p>
        </w:tc>
        <w:tc>
          <w:tcPr>
            <w:tcW w:w="6232" w:type="dxa"/>
            <w:shd w:val="clear" w:color="auto" w:fill="auto"/>
          </w:tcPr>
          <w:p>
            <w:pPr>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1.各项教学活动完整、有效，教学过程可回溯，关注教与学全过程的信息采集，教学过程材料完整。</w:t>
            </w:r>
          </w:p>
          <w:p>
            <w:pPr>
              <w:widowControl/>
              <w:rPr>
                <w:rFonts w:ascii="Times New Roman" w:hAnsi="Times New Roman" w:eastAsia="仿宋"/>
                <w:kern w:val="0"/>
                <w:szCs w:val="21"/>
                <w:highlight w:val="none"/>
              </w:rPr>
            </w:pPr>
            <w:r>
              <w:rPr>
                <w:rFonts w:ascii="Times New Roman" w:hAnsi="Times New Roman" w:eastAsia="仿宋"/>
                <w:kern w:val="0"/>
                <w:szCs w:val="21"/>
                <w:highlight w:val="none"/>
              </w:rPr>
              <w:t>2.合理使用信息技术手段创新教学模式，适合在线学习或混合式教学，能够激发学生学习兴趣和潜能。</w:t>
            </w:r>
          </w:p>
          <w:p>
            <w:pPr>
              <w:widowControl/>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3.提供在线测试、即时在线反馈、作业提交和批改、网上社区讨论等学习支持服务，促进师生之间、学生之间进行资源共享、问题交流和协作学习，实现师生、生生的深度有效互动</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学习考核与评价</w:t>
            </w:r>
          </w:p>
        </w:tc>
        <w:tc>
          <w:tcPr>
            <w:tcW w:w="6232" w:type="dxa"/>
            <w:shd w:val="clear" w:color="auto" w:fill="auto"/>
          </w:tcPr>
          <w:p>
            <w:pPr>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1.建立多元化学习评价体系，不断改进结果评价，强化过程评价，探索增值评价，健全综合评价。</w:t>
            </w:r>
          </w:p>
          <w:p>
            <w:pPr>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2.探索基于大数据的信息采集分析，全程记录和跟踪教师的教学和学生学习过程，形成教与学的正向反馈。</w:t>
            </w:r>
          </w:p>
          <w:p>
            <w:pPr>
              <w:numPr>
                <w:ilvl w:val="255"/>
                <w:numId w:val="0"/>
              </w:numPr>
              <w:rPr>
                <w:rFonts w:hint="eastAsia" w:ascii="Times New Roman" w:hAnsi="Times New Roman" w:eastAsia="仿宋"/>
                <w:bCs/>
                <w:szCs w:val="21"/>
                <w:highlight w:val="none"/>
                <w:lang w:eastAsia="zh-CN"/>
              </w:rPr>
            </w:pPr>
            <w:r>
              <w:rPr>
                <w:rFonts w:ascii="Times New Roman" w:hAnsi="Times New Roman" w:eastAsia="仿宋"/>
                <w:kern w:val="0"/>
                <w:szCs w:val="21"/>
                <w:highlight w:val="none"/>
              </w:rPr>
              <w:t>3.课程建设过程中，不断完善课程考核评价机制，有效反思课程建设的经验与不足，教学诊断改进积极有效</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应用效果</w:t>
            </w: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教学效果与反馈</w:t>
            </w:r>
          </w:p>
        </w:tc>
        <w:tc>
          <w:tcPr>
            <w:tcW w:w="6232" w:type="dxa"/>
            <w:vAlign w:val="center"/>
          </w:tcPr>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szCs w:val="21"/>
                <w:highlight w:val="none"/>
              </w:rPr>
              <w:t>1.</w:t>
            </w:r>
            <w:r>
              <w:rPr>
                <w:rFonts w:ascii="Times New Roman" w:hAnsi="Times New Roman" w:eastAsia="仿宋"/>
                <w:kern w:val="0"/>
                <w:szCs w:val="21"/>
                <w:highlight w:val="none"/>
              </w:rPr>
              <w:t>学生适应在线学习方式，可以有效开展个性化学习与合作学习，对课程的参与度、学习获得感高，学习效果好。</w:t>
            </w:r>
          </w:p>
          <w:p>
            <w:pPr>
              <w:pStyle w:val="11"/>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2.教师具有较强的信息化教学能力，教学团队配合默契，带动其他教育教学改革取得实质性成果。</w:t>
            </w:r>
          </w:p>
          <w:p>
            <w:pPr>
              <w:pStyle w:val="11"/>
              <w:widowControl/>
              <w:numPr>
                <w:ilvl w:val="255"/>
                <w:numId w:val="0"/>
              </w:numPr>
              <w:rPr>
                <w:rFonts w:hint="eastAsia" w:ascii="Times New Roman" w:hAnsi="Times New Roman" w:eastAsia="仿宋"/>
                <w:szCs w:val="21"/>
                <w:highlight w:val="none"/>
                <w:lang w:eastAsia="zh-CN"/>
              </w:rPr>
            </w:pPr>
            <w:r>
              <w:rPr>
                <w:rFonts w:ascii="Times New Roman" w:hAnsi="Times New Roman" w:eastAsia="仿宋"/>
                <w:kern w:val="0"/>
                <w:szCs w:val="21"/>
                <w:highlight w:val="none"/>
              </w:rPr>
              <w:t>3.学生对教师教学以及课程的满意度较高</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技术支持与服务</w:t>
            </w:r>
          </w:p>
        </w:tc>
        <w:tc>
          <w:tcPr>
            <w:tcW w:w="6232" w:type="dxa"/>
            <w:vAlign w:val="center"/>
          </w:tcPr>
          <w:p>
            <w:pPr>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1.各类教学资源应用充分，活跃用户数占课程注册使用人数的比例较高。</w:t>
            </w:r>
          </w:p>
          <w:p>
            <w:pPr>
              <w:widowControl/>
              <w:numPr>
                <w:ilvl w:val="255"/>
                <w:numId w:val="0"/>
              </w:numPr>
              <w:rPr>
                <w:rFonts w:ascii="Times New Roman" w:hAnsi="Times New Roman" w:eastAsia="仿宋"/>
                <w:kern w:val="0"/>
                <w:szCs w:val="21"/>
                <w:highlight w:val="none"/>
              </w:rPr>
            </w:pPr>
            <w:r>
              <w:rPr>
                <w:rFonts w:ascii="Times New Roman" w:hAnsi="Times New Roman" w:eastAsia="仿宋"/>
                <w:kern w:val="0"/>
                <w:szCs w:val="21"/>
                <w:highlight w:val="none"/>
              </w:rPr>
              <w:t>2.在线课程教学管理责任有效落实，有效防范在线刷课、替课、刷考、替考行为。</w:t>
            </w:r>
          </w:p>
          <w:p>
            <w:pPr>
              <w:widowControl/>
              <w:numPr>
                <w:ilvl w:val="255"/>
                <w:numId w:val="0"/>
              </w:numPr>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3.课程平台能够保障信息安全，同时满足提供开放用户身份数据</w:t>
            </w:r>
            <w:r>
              <w:rPr>
                <w:rFonts w:hint="eastAsia" w:ascii="Times New Roman" w:hAnsi="Times New Roman" w:eastAsia="仿宋"/>
                <w:kern w:val="0"/>
                <w:szCs w:val="21"/>
                <w:highlight w:val="none"/>
                <w:lang w:eastAsia="zh-CN"/>
              </w:rPr>
              <w:t>、</w:t>
            </w:r>
            <w:r>
              <w:rPr>
                <w:rFonts w:ascii="Times New Roman" w:hAnsi="Times New Roman" w:eastAsia="仿宋"/>
                <w:kern w:val="0"/>
                <w:szCs w:val="21"/>
                <w:highlight w:val="none"/>
              </w:rPr>
              <w:t>开放课程访问数据、学习行为数据以及相关运行数据等监管要求</w:t>
            </w:r>
            <w:r>
              <w:rPr>
                <w:rFonts w:hint="eastAsia" w:ascii="Times New Roman" w:hAnsi="Times New Roman" w:eastAsia="仿宋"/>
                <w:kern w:val="0"/>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119" w:type="dxa"/>
            <w:vMerge w:val="continue"/>
            <w:shd w:val="clear" w:color="auto" w:fill="auto"/>
            <w:vAlign w:val="center"/>
          </w:tcPr>
          <w:p>
            <w:pPr>
              <w:widowControl/>
              <w:jc w:val="center"/>
              <w:rPr>
                <w:rFonts w:ascii="Times New Roman" w:hAnsi="Times New Roman" w:eastAsia="仿宋"/>
                <w:kern w:val="0"/>
                <w:szCs w:val="21"/>
                <w:highlight w:val="none"/>
              </w:rPr>
            </w:pPr>
          </w:p>
        </w:tc>
        <w:tc>
          <w:tcPr>
            <w:tcW w:w="1329" w:type="dxa"/>
            <w:vAlign w:val="center"/>
          </w:tcPr>
          <w:p>
            <w:pPr>
              <w:widowControl/>
              <w:jc w:val="center"/>
              <w:rPr>
                <w:rFonts w:ascii="Times New Roman" w:hAnsi="Times New Roman" w:eastAsia="仿宋"/>
                <w:szCs w:val="21"/>
                <w:highlight w:val="none"/>
              </w:rPr>
            </w:pPr>
            <w:r>
              <w:rPr>
                <w:rFonts w:ascii="Times New Roman" w:hAnsi="Times New Roman" w:eastAsia="仿宋"/>
                <w:szCs w:val="21"/>
                <w:highlight w:val="none"/>
              </w:rPr>
              <w:t>课程示范与引领</w:t>
            </w:r>
          </w:p>
        </w:tc>
        <w:tc>
          <w:tcPr>
            <w:tcW w:w="6232" w:type="dxa"/>
          </w:tcPr>
          <w:p>
            <w:pPr>
              <w:widowControl/>
              <w:rPr>
                <w:rFonts w:ascii="Times New Roman" w:hAnsi="Times New Roman" w:eastAsia="仿宋"/>
                <w:szCs w:val="21"/>
                <w:highlight w:val="none"/>
              </w:rPr>
            </w:pPr>
            <w:r>
              <w:rPr>
                <w:rFonts w:ascii="Times New Roman" w:hAnsi="Times New Roman" w:eastAsia="仿宋"/>
                <w:szCs w:val="21"/>
                <w:highlight w:val="none"/>
              </w:rPr>
              <w:t>1.在教学和课程改革</w:t>
            </w:r>
            <w:r>
              <w:rPr>
                <w:rFonts w:ascii="Times New Roman" w:hAnsi="Times New Roman" w:eastAsia="仿宋"/>
                <w:kern w:val="0"/>
                <w:szCs w:val="21"/>
                <w:highlight w:val="none"/>
              </w:rPr>
              <w:t>方面与同类课程相比显示了明显优势，具有推广价值。</w:t>
            </w:r>
          </w:p>
          <w:p>
            <w:pPr>
              <w:widowControl/>
              <w:rPr>
                <w:rFonts w:hint="eastAsia" w:ascii="Times New Roman" w:hAnsi="Times New Roman" w:eastAsia="仿宋"/>
                <w:szCs w:val="21"/>
                <w:highlight w:val="none"/>
                <w:lang w:eastAsia="zh-CN"/>
              </w:rPr>
            </w:pPr>
            <w:r>
              <w:rPr>
                <w:rFonts w:ascii="Times New Roman" w:hAnsi="Times New Roman" w:eastAsia="仿宋"/>
                <w:szCs w:val="21"/>
                <w:highlight w:val="none"/>
              </w:rPr>
              <w:t>2.面向其他院校学生、企业员工和社会学习者开放学习，可供其他院校教师教学引用，用户使用活跃度高，应用效果良好、社会影响力大，认可度高</w:t>
            </w:r>
            <w:r>
              <w:rPr>
                <w:rFonts w:hint="eastAsia" w:ascii="Times New Roman" w:hAnsi="Times New Roman" w:eastAsia="仿宋"/>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9" w:type="dxa"/>
            <w:shd w:val="clear" w:color="auto" w:fill="auto"/>
            <w:vAlign w:val="center"/>
          </w:tcPr>
          <w:p>
            <w:pPr>
              <w:widowControl/>
              <w:jc w:val="center"/>
              <w:rPr>
                <w:rFonts w:ascii="Times New Roman" w:hAnsi="Times New Roman" w:eastAsia="仿宋"/>
                <w:kern w:val="0"/>
                <w:szCs w:val="21"/>
                <w:highlight w:val="none"/>
              </w:rPr>
            </w:pPr>
            <w:r>
              <w:rPr>
                <w:rFonts w:ascii="Times New Roman" w:hAnsi="Times New Roman" w:eastAsia="仿宋"/>
                <w:kern w:val="0"/>
                <w:szCs w:val="21"/>
                <w:highlight w:val="none"/>
              </w:rPr>
              <w:t>特色创新</w:t>
            </w:r>
          </w:p>
        </w:tc>
        <w:tc>
          <w:tcPr>
            <w:tcW w:w="7561" w:type="dxa"/>
            <w:gridSpan w:val="2"/>
            <w:shd w:val="clear" w:color="auto" w:fill="auto"/>
            <w:vAlign w:val="center"/>
          </w:tcPr>
          <w:p>
            <w:pPr>
              <w:widowControl/>
              <w:jc w:val="left"/>
              <w:rPr>
                <w:rFonts w:hint="eastAsia" w:ascii="Times New Roman" w:hAnsi="Times New Roman" w:eastAsia="仿宋"/>
                <w:kern w:val="0"/>
                <w:szCs w:val="21"/>
                <w:highlight w:val="none"/>
                <w:lang w:eastAsia="zh-CN"/>
              </w:rPr>
            </w:pPr>
            <w:r>
              <w:rPr>
                <w:rFonts w:ascii="Times New Roman" w:hAnsi="Times New Roman" w:eastAsia="仿宋"/>
                <w:kern w:val="0"/>
                <w:szCs w:val="21"/>
                <w:highlight w:val="none"/>
              </w:rPr>
              <w:t>充分彰显职业教育类型特征，体现专业升级和数字化改造要求，能够较好解决职业教育传统教学中的短板问题，课程与教学改革理念具有原创性、教学实践效果显著</w:t>
            </w:r>
            <w:r>
              <w:rPr>
                <w:rFonts w:hint="eastAsia" w:ascii="Times New Roman" w:hAnsi="Times New Roman" w:eastAsia="仿宋"/>
                <w:kern w:val="0"/>
                <w:szCs w:val="21"/>
                <w:highlight w:val="none"/>
                <w:lang w:eastAsia="zh-CN"/>
              </w:rPr>
              <w:t>。</w:t>
            </w:r>
          </w:p>
        </w:tc>
      </w:tr>
    </w:tbl>
    <w:p>
      <w:pPr>
        <w:pStyle w:val="2"/>
        <w:rPr>
          <w:rFonts w:hint="eastAsia"/>
          <w:highlight w:val="yellow"/>
        </w:rPr>
      </w:pPr>
    </w:p>
    <w:p>
      <w:pPr>
        <w:pStyle w:val="2"/>
        <w:rPr>
          <w:rFonts w:hint="eastAsia" w:ascii="方正小标宋_GBK" w:hAnsi="方正小标宋_GBK" w:eastAsia="方正小标宋_GBK" w:cs="方正小标宋_GBK"/>
          <w:sz w:val="44"/>
          <w:szCs w:val="40"/>
        </w:rPr>
      </w:pPr>
    </w:p>
    <w:p>
      <w:pPr>
        <w:jc w:val="center"/>
        <w:rPr>
          <w:rFonts w:hint="eastAsia" w:ascii="方正小标宋_GBK" w:hAnsi="方正小标宋_GBK" w:eastAsia="方正小标宋_GBK" w:cs="方正小标宋_GBK"/>
          <w:sz w:val="44"/>
          <w:szCs w:val="40"/>
        </w:rPr>
      </w:pPr>
      <w:r>
        <w:rPr>
          <w:rFonts w:hint="eastAsia" w:ascii="方正小标宋_GBK" w:hAnsi="方正小标宋_GBK" w:eastAsia="方正小标宋_GBK" w:cs="方正小标宋_GBK"/>
          <w:sz w:val="44"/>
          <w:szCs w:val="40"/>
        </w:rPr>
        <w:t>云南医药健康职业学院精品视频公开课拍摄制作技术标准</w:t>
      </w:r>
    </w:p>
    <w:p>
      <w:pPr>
        <w:jc w:val="center"/>
        <w:rPr>
          <w:b/>
          <w:sz w:val="36"/>
          <w:szCs w:val="36"/>
        </w:rPr>
      </w:pPr>
      <w:bookmarkStart w:id="0" w:name="_GoBack"/>
      <w:bookmarkEnd w:id="0"/>
    </w:p>
    <w:p>
      <w:pPr>
        <w:spacing w:line="560" w:lineRule="exact"/>
        <w:ind w:firstLine="640" w:firstLineChars="200"/>
        <w:rPr>
          <w:rFonts w:ascii="仿宋" w:hAnsi="仿宋" w:eastAsia="仿宋"/>
          <w:sz w:val="32"/>
          <w:szCs w:val="32"/>
        </w:rPr>
      </w:pPr>
      <w:r>
        <w:rPr>
          <w:rFonts w:hint="eastAsia" w:ascii="仿宋" w:hAnsi="仿宋" w:eastAsia="仿宋"/>
          <w:sz w:val="32"/>
          <w:szCs w:val="32"/>
        </w:rPr>
        <w:t>根据精品视频公开课建设工作的需要，特制定本标准。本标准主要包括视频公开课的音视频录制、后期制作和文件交付等基本技术规范（具体以招标拍摄公司要求为准）。</w:t>
      </w:r>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一、前期录制要求</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（一）课程时长</w:t>
      </w:r>
    </w:p>
    <w:p>
      <w:pPr>
        <w:spacing w:line="560" w:lineRule="exact"/>
        <w:ind w:firstLine="640" w:firstLineChars="200"/>
        <w:rPr>
          <w:rFonts w:ascii="仿宋" w:hAnsi="仿宋" w:eastAsia="仿宋"/>
          <w:sz w:val="32"/>
          <w:szCs w:val="32"/>
        </w:rPr>
      </w:pPr>
      <w:r>
        <w:rPr>
          <w:rFonts w:hint="eastAsia" w:ascii="仿宋" w:hAnsi="仿宋" w:eastAsia="仿宋" w:cs="仿宋"/>
          <w:color w:val="000000"/>
          <w:sz w:val="32"/>
          <w:szCs w:val="32"/>
          <w:lang w:val="en-US" w:eastAsia="zh-CN"/>
        </w:rPr>
        <w:t>课程总学时不低于32学时，拍摄总时长不少于300分钟，</w:t>
      </w:r>
      <w:r>
        <w:rPr>
          <w:rFonts w:hint="eastAsia" w:ascii="仿宋" w:hAnsi="仿宋" w:eastAsia="仿宋"/>
          <w:sz w:val="32"/>
          <w:szCs w:val="32"/>
        </w:rPr>
        <w:t>每讲时长应在</w:t>
      </w:r>
      <w:r>
        <w:rPr>
          <w:rFonts w:ascii="仿宋" w:hAnsi="仿宋" w:eastAsia="仿宋"/>
          <w:sz w:val="32"/>
          <w:szCs w:val="32"/>
        </w:rPr>
        <w:t>30—50</w:t>
      </w:r>
      <w:r>
        <w:rPr>
          <w:rFonts w:hint="eastAsia" w:ascii="仿宋" w:hAnsi="仿宋" w:eastAsia="仿宋"/>
          <w:sz w:val="32"/>
          <w:szCs w:val="32"/>
        </w:rPr>
        <w:t>分钟之间。在视频的后期制作中，应编辑删除与教学无关的内容。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（二）录制场地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录制场地应选择授课现场，可以是课堂、演播室或礼堂等场地，面积在</w:t>
      </w:r>
      <w:r>
        <w:rPr>
          <w:rFonts w:ascii="仿宋" w:hAnsi="仿宋" w:eastAsia="仿宋"/>
          <w:sz w:val="32"/>
          <w:szCs w:val="32"/>
        </w:rPr>
        <w:t>50</w:t>
      </w:r>
      <w:r>
        <w:rPr>
          <w:rFonts w:hint="eastAsia" w:ascii="仿宋" w:hAnsi="仿宋" w:eastAsia="仿宋"/>
          <w:sz w:val="32"/>
          <w:szCs w:val="32"/>
        </w:rPr>
        <w:t>平方米以上。要求录制现场光线充足、环境安静、整洁，避免在镜头中出现有广告嫌疑或与课程无关的标识等内容。</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（三）课程形式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成片统一采用单一视频形式。</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（四）录制方式及设备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拍摄方式：根据课程内容，采用多机位拍摄（</w:t>
      </w:r>
      <w:r>
        <w:rPr>
          <w:rFonts w:ascii="仿宋" w:hAnsi="仿宋" w:eastAsia="仿宋"/>
          <w:sz w:val="32"/>
          <w:szCs w:val="32"/>
        </w:rPr>
        <w:t>3</w:t>
      </w:r>
      <w:r>
        <w:rPr>
          <w:rFonts w:hint="eastAsia" w:ascii="仿宋" w:hAnsi="仿宋" w:eastAsia="仿宋"/>
          <w:sz w:val="32"/>
          <w:szCs w:val="32"/>
        </w:rPr>
        <w:t>机位以上），机位设置应满足完整记录课堂全部教学活动的要求。</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录像设备：摄像机要求不低于专业级数字设备，推荐使用高清数字设备。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3. </w:t>
      </w:r>
      <w:r>
        <w:rPr>
          <w:rFonts w:hint="eastAsia" w:ascii="仿宋" w:hAnsi="仿宋" w:eastAsia="仿宋"/>
          <w:sz w:val="32"/>
          <w:szCs w:val="32"/>
        </w:rPr>
        <w:t>录音设备：使用若干个专业级话筒，保证教师和学生发言的录音质量。</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4. </w:t>
      </w:r>
      <w:r>
        <w:rPr>
          <w:rFonts w:hint="eastAsia" w:ascii="仿宋" w:hAnsi="仿宋" w:eastAsia="仿宋"/>
          <w:sz w:val="32"/>
          <w:szCs w:val="32"/>
        </w:rPr>
        <w:t>后期制作设备：使用相应的非线性编辑系统。</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（五）多媒体课件的制作及录制</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教师在录制前应对授课过程中使用的多媒体课件（</w:t>
      </w:r>
      <w:r>
        <w:rPr>
          <w:rFonts w:ascii="仿宋" w:hAnsi="仿宋" w:eastAsia="仿宋"/>
          <w:sz w:val="32"/>
          <w:szCs w:val="32"/>
        </w:rPr>
        <w:t>PPT</w:t>
      </w:r>
      <w:r>
        <w:rPr>
          <w:rFonts w:hint="eastAsia" w:ascii="仿宋" w:hAnsi="仿宋" w:eastAsia="仿宋"/>
          <w:sz w:val="32"/>
          <w:szCs w:val="32"/>
        </w:rPr>
        <w:t>、音视频、动画等）认真检查，确保其文字、格式规范，没有错误，符合拍摄要求。在拍摄时应针对实际情况选择适当的拍摄方式，确保成片中的多媒体演示及板书完整、清晰。</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二、后期制作要求</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（一）片头与片尾</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片头不超过</w:t>
      </w:r>
      <w:r>
        <w:rPr>
          <w:rFonts w:ascii="仿宋" w:hAnsi="仿宋" w:eastAsia="仿宋"/>
          <w:sz w:val="32"/>
          <w:szCs w:val="32"/>
        </w:rPr>
        <w:t>10</w:t>
      </w:r>
      <w:r>
        <w:rPr>
          <w:rFonts w:hint="eastAsia" w:ascii="仿宋" w:hAnsi="仿宋" w:eastAsia="仿宋"/>
          <w:sz w:val="32"/>
          <w:szCs w:val="32"/>
        </w:rPr>
        <w:t>秒，应包括</w:t>
      </w:r>
      <w:r>
        <w:rPr>
          <w:rFonts w:ascii="仿宋" w:hAnsi="仿宋" w:eastAsia="仿宋"/>
          <w:sz w:val="32"/>
          <w:szCs w:val="32"/>
        </w:rPr>
        <w:t>:</w:t>
      </w:r>
      <w:r>
        <w:rPr>
          <w:rFonts w:hint="eastAsia" w:ascii="仿宋" w:hAnsi="仿宋" w:eastAsia="仿宋"/>
          <w:sz w:val="32"/>
          <w:szCs w:val="32"/>
        </w:rPr>
        <w:t>学校</w:t>
      </w:r>
      <w:r>
        <w:rPr>
          <w:rFonts w:ascii="仿宋" w:hAnsi="仿宋" w:eastAsia="仿宋"/>
          <w:sz w:val="32"/>
          <w:szCs w:val="32"/>
        </w:rPr>
        <w:t>LOGO</w:t>
      </w:r>
      <w:r>
        <w:rPr>
          <w:rFonts w:hint="eastAsia" w:ascii="仿宋" w:hAnsi="仿宋" w:eastAsia="仿宋"/>
          <w:sz w:val="32"/>
          <w:szCs w:val="32"/>
        </w:rPr>
        <w:t>、课程名称、主讲、讲次教师姓名、专业技术职务、单位等信息。</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片尾包括版权单位、制作单位、录制时间等信息。</w:t>
      </w:r>
    </w:p>
    <w:p>
      <w:pPr>
        <w:spacing w:line="560" w:lineRule="exact"/>
        <w:ind w:firstLine="640" w:firstLineChars="200"/>
        <w:rPr>
          <w:rFonts w:ascii="仿宋" w:hAnsi="仿宋" w:eastAsia="仿宋"/>
          <w:sz w:val="32"/>
          <w:szCs w:val="32"/>
        </w:rPr>
      </w:pPr>
      <w:r>
        <w:rPr>
          <w:rFonts w:hint="eastAsia" w:ascii="楷体" w:hAnsi="楷体" w:eastAsia="楷体"/>
          <w:sz w:val="32"/>
          <w:szCs w:val="32"/>
        </w:rPr>
        <w:t>（二）技术指标</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1. </w:t>
      </w:r>
      <w:r>
        <w:rPr>
          <w:rFonts w:hint="eastAsia" w:ascii="仿宋" w:hAnsi="仿宋" w:eastAsia="仿宋"/>
          <w:sz w:val="32"/>
          <w:szCs w:val="32"/>
        </w:rPr>
        <w:t>视频信号源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）稳定性：全片图像同步性能稳定，无失步现象，</w:t>
      </w:r>
      <w:r>
        <w:rPr>
          <w:rFonts w:ascii="仿宋" w:hAnsi="仿宋" w:eastAsia="仿宋"/>
          <w:sz w:val="32"/>
          <w:szCs w:val="32"/>
        </w:rPr>
        <w:t>CTL</w:t>
      </w:r>
      <w:r>
        <w:rPr>
          <w:rFonts w:hint="eastAsia" w:ascii="仿宋" w:hAnsi="仿宋" w:eastAsia="仿宋"/>
          <w:sz w:val="32"/>
          <w:szCs w:val="32"/>
        </w:rPr>
        <w:t>同步控制信号必须连续：图像无抖动跳跃，色彩无突变，编辑点处图像稳定。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）信噪比：图像信噪比不低于</w:t>
      </w:r>
      <w:r>
        <w:rPr>
          <w:rFonts w:ascii="仿宋" w:hAnsi="仿宋" w:eastAsia="仿宋"/>
          <w:sz w:val="32"/>
          <w:szCs w:val="32"/>
        </w:rPr>
        <w:t>55dB</w:t>
      </w:r>
      <w:r>
        <w:rPr>
          <w:rFonts w:hint="eastAsia" w:ascii="仿宋" w:hAnsi="仿宋" w:eastAsia="仿宋"/>
          <w:sz w:val="32"/>
          <w:szCs w:val="32"/>
        </w:rPr>
        <w:t>，无明显杂波。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）色调：白平衡正确，无明显偏色，多机拍摄的镜头衔接处无明显色差。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）视频电平：视频全讯号幅度为</w:t>
      </w:r>
      <w:r>
        <w:rPr>
          <w:rFonts w:ascii="仿宋" w:hAnsi="仿宋" w:eastAsia="仿宋"/>
          <w:sz w:val="32"/>
          <w:szCs w:val="32"/>
        </w:rPr>
        <w:t>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，最大不超过</w:t>
      </w:r>
      <w:r>
        <w:rPr>
          <w:rFonts w:ascii="仿宋" w:hAnsi="仿宋" w:eastAsia="仿宋"/>
          <w:sz w:val="32"/>
          <w:szCs w:val="32"/>
        </w:rPr>
        <w:t>1.1</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。其中，消隐电平为</w:t>
      </w:r>
      <w:r>
        <w:rPr>
          <w:rFonts w:ascii="仿宋" w:hAnsi="仿宋" w:eastAsia="仿宋"/>
          <w:sz w:val="32"/>
          <w:szCs w:val="32"/>
        </w:rPr>
        <w:t>0V</w:t>
      </w:r>
      <w:r>
        <w:rPr>
          <w:rFonts w:hint="eastAsia" w:ascii="仿宋" w:hAnsi="仿宋" w:eastAsia="仿宋"/>
          <w:sz w:val="32"/>
          <w:szCs w:val="32"/>
        </w:rPr>
        <w:t>时，白电平幅度</w:t>
      </w:r>
      <w:r>
        <w:rPr>
          <w:rFonts w:ascii="仿宋" w:hAnsi="仿宋" w:eastAsia="仿宋"/>
          <w:sz w:val="32"/>
          <w:szCs w:val="32"/>
        </w:rPr>
        <w:t>0.7</w:t>
      </w:r>
      <w:r>
        <w:rPr>
          <w:rFonts w:hint="eastAsia" w:ascii="仿宋" w:hAnsi="仿宋" w:eastAsia="仿宋"/>
          <w:sz w:val="32"/>
          <w:szCs w:val="32"/>
        </w:rPr>
        <w:t>Ⅴ</w:t>
      </w:r>
      <w:r>
        <w:rPr>
          <w:rFonts w:ascii="仿宋" w:hAnsi="仿宋" w:eastAsia="仿宋"/>
          <w:sz w:val="32"/>
          <w:szCs w:val="32"/>
        </w:rPr>
        <w:t>p-p</w:t>
      </w:r>
      <w:r>
        <w:rPr>
          <w:rFonts w:hint="eastAsia" w:ascii="仿宋" w:hAnsi="仿宋" w:eastAsia="仿宋"/>
          <w:sz w:val="32"/>
          <w:szCs w:val="32"/>
        </w:rPr>
        <w:t>，同步信号</w:t>
      </w:r>
      <w:r>
        <w:rPr>
          <w:rFonts w:ascii="仿宋" w:hAnsi="仿宋" w:eastAsia="仿宋"/>
          <w:sz w:val="32"/>
          <w:szCs w:val="32"/>
        </w:rPr>
        <w:t>-0.3V</w:t>
      </w:r>
      <w:r>
        <w:rPr>
          <w:rFonts w:hint="eastAsia" w:ascii="仿宋" w:hAnsi="仿宋" w:eastAsia="仿宋"/>
          <w:sz w:val="32"/>
          <w:szCs w:val="32"/>
        </w:rPr>
        <w:t>，色同步信号幅度</w:t>
      </w:r>
      <w:r>
        <w:rPr>
          <w:rFonts w:ascii="仿宋" w:hAnsi="仿宋" w:eastAsia="仿宋"/>
          <w:sz w:val="32"/>
          <w:szCs w:val="32"/>
        </w:rPr>
        <w:t>0.3Vp-p(</w:t>
      </w:r>
      <w:r>
        <w:rPr>
          <w:rFonts w:hint="eastAsia" w:ascii="仿宋" w:hAnsi="仿宋" w:eastAsia="仿宋"/>
          <w:sz w:val="32"/>
          <w:szCs w:val="32"/>
        </w:rPr>
        <w:t>以消隐线上下对称</w:t>
      </w:r>
      <w:r>
        <w:rPr>
          <w:rFonts w:ascii="仿宋" w:hAnsi="仿宋" w:eastAsia="仿宋"/>
          <w:sz w:val="32"/>
          <w:szCs w:val="32"/>
        </w:rPr>
        <w:t>)</w:t>
      </w:r>
      <w:r>
        <w:rPr>
          <w:rFonts w:hint="eastAsia" w:ascii="仿宋" w:hAnsi="仿宋" w:eastAsia="仿宋"/>
          <w:sz w:val="32"/>
          <w:szCs w:val="32"/>
        </w:rPr>
        <w:t>，全片一致。</w:t>
      </w:r>
    </w:p>
    <w:p>
      <w:pPr>
        <w:spacing w:line="560" w:lineRule="exact"/>
        <w:ind w:firstLine="640" w:firstLineChars="200"/>
        <w:rPr>
          <w:rFonts w:ascii="仿宋" w:hAnsi="仿宋" w:eastAsia="仿宋"/>
          <w:sz w:val="32"/>
          <w:szCs w:val="32"/>
        </w:rPr>
      </w:pPr>
      <w:r>
        <w:rPr>
          <w:rFonts w:ascii="仿宋" w:hAnsi="仿宋" w:eastAsia="仿宋"/>
          <w:sz w:val="32"/>
          <w:szCs w:val="32"/>
        </w:rPr>
        <w:t xml:space="preserve">2. </w:t>
      </w:r>
      <w:r>
        <w:rPr>
          <w:rFonts w:hint="eastAsia" w:ascii="仿宋" w:hAnsi="仿宋" w:eastAsia="仿宋"/>
          <w:sz w:val="32"/>
          <w:szCs w:val="32"/>
        </w:rPr>
        <w:t>音频信号源</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）声道：中文内容音频信号记录于第</w:t>
      </w:r>
      <w:r>
        <w:rPr>
          <w:rFonts w:ascii="仿宋" w:hAnsi="仿宋" w:eastAsia="仿宋"/>
          <w:sz w:val="32"/>
          <w:szCs w:val="32"/>
        </w:rPr>
        <w:t>1</w:t>
      </w:r>
      <w:r>
        <w:rPr>
          <w:rFonts w:hint="eastAsia" w:ascii="仿宋" w:hAnsi="仿宋" w:eastAsia="仿宋"/>
          <w:sz w:val="32"/>
          <w:szCs w:val="32"/>
        </w:rPr>
        <w:t>声道，音乐、音效、同期声记录于第</w:t>
      </w:r>
      <w:r>
        <w:rPr>
          <w:rFonts w:ascii="仿宋" w:hAnsi="仿宋" w:eastAsia="仿宋"/>
          <w:sz w:val="32"/>
          <w:szCs w:val="32"/>
        </w:rPr>
        <w:t>2</w:t>
      </w:r>
      <w:r>
        <w:rPr>
          <w:rFonts w:hint="eastAsia" w:ascii="仿宋" w:hAnsi="仿宋" w:eastAsia="仿宋"/>
          <w:sz w:val="32"/>
          <w:szCs w:val="32"/>
        </w:rPr>
        <w:t>声道，若有其他文字解说记录于第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如录音设备无第</w:t>
      </w:r>
      <w:r>
        <w:rPr>
          <w:rFonts w:ascii="仿宋" w:hAnsi="仿宋" w:eastAsia="仿宋"/>
          <w:sz w:val="32"/>
          <w:szCs w:val="32"/>
        </w:rPr>
        <w:t>3</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则录于第</w:t>
      </w:r>
      <w:r>
        <w:rPr>
          <w:rFonts w:ascii="仿宋" w:hAnsi="仿宋" w:eastAsia="仿宋"/>
          <w:sz w:val="32"/>
          <w:szCs w:val="32"/>
        </w:rPr>
        <w:t>2</w:t>
      </w:r>
      <w:r>
        <w:rPr>
          <w:rFonts w:hint="eastAsia" w:ascii="仿宋" w:hAnsi="仿宋" w:eastAsia="仿宋"/>
          <w:sz w:val="32"/>
          <w:szCs w:val="32"/>
        </w:rPr>
        <w:t>声道</w:t>
      </w:r>
      <w:r>
        <w:rPr>
          <w:rFonts w:ascii="仿宋" w:hAnsi="仿宋" w:eastAsia="仿宋"/>
          <w:sz w:val="32"/>
          <w:szCs w:val="32"/>
        </w:rPr>
        <w:t>)</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）电平指标：</w:t>
      </w:r>
      <w:r>
        <w:rPr>
          <w:rFonts w:ascii="仿宋" w:hAnsi="仿宋" w:eastAsia="仿宋"/>
          <w:sz w:val="32"/>
          <w:szCs w:val="32"/>
        </w:rPr>
        <w:t>-2db——-8db</w:t>
      </w:r>
      <w:r>
        <w:rPr>
          <w:rFonts w:hint="eastAsia" w:ascii="仿宋" w:hAnsi="仿宋" w:eastAsia="仿宋"/>
          <w:sz w:val="32"/>
          <w:szCs w:val="32"/>
        </w:rPr>
        <w:t>声音应无明显失真、放音过冲、过弱。</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）音频信噪比不低于</w:t>
      </w:r>
      <w:r>
        <w:rPr>
          <w:rFonts w:ascii="仿宋" w:hAnsi="仿宋" w:eastAsia="仿宋"/>
          <w:sz w:val="32"/>
          <w:szCs w:val="32"/>
        </w:rPr>
        <w:t>48db</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）声音和画面要求同步，无交流声或其他杂音等缺陷。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）伴音清晰、饱满、圆润，无失真、噪声杂音干扰、音量忽大忽小现象。解说声与现场声无明显比例失调，解说声与背景音乐无明显比例失调。</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（三）母带及素材的保管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学校应保留原始素材与成片母带。</w:t>
      </w:r>
    </w:p>
    <w:p>
      <w:pPr>
        <w:spacing w:line="560" w:lineRule="exact"/>
        <w:ind w:firstLine="627" w:firstLineChars="196"/>
        <w:rPr>
          <w:rFonts w:ascii="黑体" w:hAnsi="黑体" w:eastAsia="黑体"/>
          <w:sz w:val="32"/>
          <w:szCs w:val="32"/>
        </w:rPr>
      </w:pPr>
      <w:r>
        <w:rPr>
          <w:rFonts w:hint="eastAsia" w:ascii="黑体" w:hAnsi="黑体" w:eastAsia="黑体"/>
          <w:sz w:val="32"/>
          <w:szCs w:val="32"/>
        </w:rPr>
        <w:t>三、视、音频交付文件</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（一）交付载体</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所有视频文件及相应的</w:t>
      </w:r>
      <w:r>
        <w:rPr>
          <w:rFonts w:ascii="仿宋" w:hAnsi="仿宋" w:eastAsia="仿宋"/>
          <w:sz w:val="32"/>
          <w:szCs w:val="32"/>
        </w:rPr>
        <w:t>SRT</w:t>
      </w:r>
      <w:r>
        <w:rPr>
          <w:rFonts w:hint="eastAsia" w:ascii="仿宋" w:hAnsi="仿宋" w:eastAsia="仿宋"/>
          <w:sz w:val="32"/>
          <w:szCs w:val="32"/>
        </w:rPr>
        <w:t>唱词文件请刻录在</w:t>
      </w:r>
      <w:r>
        <w:rPr>
          <w:rFonts w:ascii="仿宋" w:hAnsi="仿宋" w:eastAsia="仿宋"/>
          <w:sz w:val="32"/>
          <w:szCs w:val="32"/>
        </w:rPr>
        <w:t>CD-R</w:t>
      </w:r>
      <w:r>
        <w:rPr>
          <w:rFonts w:hint="eastAsia" w:ascii="仿宋" w:hAnsi="仿宋" w:eastAsia="仿宋"/>
          <w:sz w:val="32"/>
          <w:szCs w:val="32"/>
        </w:rPr>
        <w:t>光盘上，并对刻录光盘做封口处理。</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每张</w:t>
      </w:r>
      <w:r>
        <w:rPr>
          <w:rFonts w:ascii="仿宋" w:hAnsi="仿宋" w:eastAsia="仿宋"/>
          <w:sz w:val="32"/>
          <w:szCs w:val="32"/>
        </w:rPr>
        <w:t>CD-R</w:t>
      </w:r>
      <w:r>
        <w:rPr>
          <w:rFonts w:hint="eastAsia" w:ascii="仿宋" w:hAnsi="仿宋" w:eastAsia="仿宋"/>
          <w:sz w:val="32"/>
          <w:szCs w:val="32"/>
        </w:rPr>
        <w:t>光盘只能刻录一讲内容（包括每一讲的视频文件及相应的</w:t>
      </w:r>
      <w:r>
        <w:rPr>
          <w:rFonts w:ascii="仿宋" w:hAnsi="仿宋" w:eastAsia="仿宋"/>
          <w:sz w:val="32"/>
          <w:szCs w:val="32"/>
        </w:rPr>
        <w:t>SRT</w:t>
      </w:r>
      <w:r>
        <w:rPr>
          <w:rFonts w:hint="eastAsia" w:ascii="仿宋" w:hAnsi="仿宋" w:eastAsia="仿宋"/>
          <w:sz w:val="32"/>
          <w:szCs w:val="32"/>
        </w:rPr>
        <w:t>唱词文件），并在盘面上注明该讲讲次、标题及主讲教师、时长等信息。</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（二）视频压缩格式及技术参数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视频压缩采用</w:t>
      </w:r>
      <w:r>
        <w:rPr>
          <w:rFonts w:ascii="仿宋" w:hAnsi="仿宋" w:eastAsia="仿宋"/>
          <w:sz w:val="32"/>
          <w:szCs w:val="32"/>
        </w:rPr>
        <w:t>H.264/AVC(MPEG-4 Part 10)</w:t>
      </w:r>
      <w:r>
        <w:rPr>
          <w:rFonts w:hint="eastAsia" w:ascii="仿宋" w:hAnsi="仿宋" w:eastAsia="仿宋"/>
          <w:sz w:val="32"/>
          <w:szCs w:val="32"/>
        </w:rPr>
        <w:t>编码、使用二次编码、不包含字幕的</w:t>
      </w:r>
      <w:r>
        <w:rPr>
          <w:rFonts w:ascii="仿宋" w:hAnsi="仿宋" w:eastAsia="仿宋"/>
          <w:sz w:val="32"/>
          <w:szCs w:val="32"/>
        </w:rPr>
        <w:t>MP4</w:t>
      </w:r>
      <w:r>
        <w:rPr>
          <w:rFonts w:hint="eastAsia" w:ascii="仿宋" w:hAnsi="仿宋" w:eastAsia="仿宋"/>
          <w:sz w:val="32"/>
          <w:szCs w:val="32"/>
        </w:rPr>
        <w:t>格式。</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视频码流率：动态码流的最高码率不高于</w:t>
      </w:r>
      <w:r>
        <w:rPr>
          <w:rFonts w:ascii="仿宋" w:hAnsi="仿宋" w:eastAsia="仿宋"/>
          <w:sz w:val="32"/>
          <w:szCs w:val="32"/>
        </w:rPr>
        <w:t>2500 Kbps</w:t>
      </w:r>
      <w:r>
        <w:rPr>
          <w:rFonts w:hint="eastAsia" w:ascii="仿宋" w:hAnsi="仿宋" w:eastAsia="仿宋"/>
          <w:sz w:val="32"/>
          <w:szCs w:val="32"/>
        </w:rPr>
        <w:t>，最低码率不得低于</w:t>
      </w:r>
      <w:r>
        <w:rPr>
          <w:rFonts w:ascii="仿宋" w:hAnsi="仿宋" w:eastAsia="仿宋"/>
          <w:sz w:val="32"/>
          <w:szCs w:val="32"/>
        </w:rPr>
        <w:t>1024 Kbps</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视频分辨率</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 xml:space="preserve">）前期采用标清 </w:t>
      </w:r>
      <w:r>
        <w:rPr>
          <w:rFonts w:ascii="仿宋" w:hAnsi="仿宋" w:eastAsia="仿宋"/>
          <w:sz w:val="32"/>
          <w:szCs w:val="32"/>
        </w:rPr>
        <w:t>4:3</w:t>
      </w:r>
      <w:r>
        <w:rPr>
          <w:rFonts w:hint="eastAsia" w:ascii="仿宋" w:hAnsi="仿宋" w:eastAsia="仿宋"/>
          <w:sz w:val="32"/>
          <w:szCs w:val="32"/>
        </w:rPr>
        <w:t>拍摄时，请设定为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 xml:space="preserve">）前期采用高清 </w:t>
      </w:r>
      <w:r>
        <w:rPr>
          <w:rFonts w:ascii="仿宋" w:hAnsi="仿宋" w:eastAsia="仿宋"/>
          <w:sz w:val="32"/>
          <w:szCs w:val="32"/>
        </w:rPr>
        <w:t>16:9</w:t>
      </w:r>
      <w:r>
        <w:rPr>
          <w:rFonts w:hint="eastAsia" w:ascii="仿宋" w:hAnsi="仿宋" w:eastAsia="仿宋"/>
          <w:sz w:val="32"/>
          <w:szCs w:val="32"/>
        </w:rPr>
        <w:t>拍摄时，请设定为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视频画幅宽高比</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）分辨率设定为</w:t>
      </w:r>
      <w:r>
        <w:rPr>
          <w:rFonts w:ascii="仿宋" w:hAnsi="仿宋" w:eastAsia="仿宋"/>
          <w:sz w:val="32"/>
          <w:szCs w:val="32"/>
        </w:rPr>
        <w:t xml:space="preserve"> 720</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4:3</w:t>
      </w:r>
    </w:p>
    <w:p>
      <w:pPr>
        <w:spacing w:line="560" w:lineRule="exact"/>
        <w:ind w:firstLine="480" w:firstLineChars="15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）分辨率设定为</w:t>
      </w:r>
      <w:r>
        <w:rPr>
          <w:rFonts w:ascii="仿宋" w:hAnsi="仿宋" w:eastAsia="仿宋"/>
          <w:sz w:val="32"/>
          <w:szCs w:val="32"/>
        </w:rPr>
        <w:t xml:space="preserve"> 1024</w:t>
      </w:r>
      <w:r>
        <w:rPr>
          <w:rFonts w:hint="eastAsia" w:ascii="仿宋" w:hAnsi="仿宋" w:eastAsia="仿宋"/>
          <w:sz w:val="32"/>
          <w:szCs w:val="32"/>
        </w:rPr>
        <w:t>×</w:t>
      </w:r>
      <w:r>
        <w:rPr>
          <w:rFonts w:ascii="仿宋" w:hAnsi="仿宋" w:eastAsia="仿宋"/>
          <w:sz w:val="32"/>
          <w:szCs w:val="32"/>
        </w:rPr>
        <w:t>576</w:t>
      </w:r>
      <w:r>
        <w:rPr>
          <w:rFonts w:hint="eastAsia" w:ascii="仿宋" w:hAnsi="仿宋" w:eastAsia="仿宋"/>
          <w:sz w:val="32"/>
          <w:szCs w:val="32"/>
        </w:rPr>
        <w:t>的，请选定</w:t>
      </w:r>
      <w:r>
        <w:rPr>
          <w:rFonts w:ascii="仿宋" w:hAnsi="仿宋" w:eastAsia="仿宋"/>
          <w:sz w:val="32"/>
          <w:szCs w:val="32"/>
        </w:rPr>
        <w:t xml:space="preserve"> 16:9</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视频帧率为</w:t>
      </w:r>
      <w:r>
        <w:rPr>
          <w:rFonts w:ascii="仿宋" w:hAnsi="仿宋" w:eastAsia="仿宋"/>
          <w:sz w:val="32"/>
          <w:szCs w:val="32"/>
        </w:rPr>
        <w:t>25</w:t>
      </w:r>
      <w:r>
        <w:rPr>
          <w:rFonts w:hint="eastAsia" w:ascii="仿宋" w:hAnsi="仿宋" w:eastAsia="仿宋"/>
          <w:sz w:val="32"/>
          <w:szCs w:val="32"/>
        </w:rPr>
        <w:t>帧</w:t>
      </w:r>
      <w:r>
        <w:rPr>
          <w:rFonts w:ascii="仿宋" w:hAnsi="仿宋" w:eastAsia="仿宋"/>
          <w:sz w:val="32"/>
          <w:szCs w:val="32"/>
        </w:rPr>
        <w:t>/</w:t>
      </w:r>
      <w:r>
        <w:rPr>
          <w:rFonts w:hint="eastAsia" w:ascii="仿宋" w:hAnsi="仿宋" w:eastAsia="仿宋"/>
          <w:sz w:val="32"/>
          <w:szCs w:val="32"/>
        </w:rPr>
        <w:t>秒</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扫描方式采用逐行扫描</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（三）音频压缩格式及技术参数</w:t>
      </w:r>
    </w:p>
    <w:p>
      <w:pPr>
        <w:spacing w:line="560" w:lineRule="exact"/>
        <w:ind w:firstLine="720" w:firstLineChars="22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 音频压缩采用</w:t>
      </w:r>
      <w:r>
        <w:rPr>
          <w:rFonts w:ascii="仿宋" w:hAnsi="仿宋" w:eastAsia="仿宋"/>
          <w:sz w:val="32"/>
          <w:szCs w:val="32"/>
        </w:rPr>
        <w:t>AAC(MPEG4 Part3)</w:t>
      </w:r>
      <w:r>
        <w:rPr>
          <w:rFonts w:hint="eastAsia" w:ascii="仿宋" w:hAnsi="仿宋" w:eastAsia="仿宋"/>
          <w:sz w:val="32"/>
          <w:szCs w:val="32"/>
        </w:rPr>
        <w:t>格式</w:t>
      </w:r>
    </w:p>
    <w:p>
      <w:pPr>
        <w:spacing w:line="560" w:lineRule="exact"/>
        <w:ind w:firstLine="720" w:firstLineChars="22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采样率</w:t>
      </w:r>
      <w:r>
        <w:rPr>
          <w:rFonts w:ascii="仿宋" w:hAnsi="仿宋" w:eastAsia="仿宋"/>
          <w:sz w:val="32"/>
          <w:szCs w:val="32"/>
        </w:rPr>
        <w:t xml:space="preserve">48 KHz </w:t>
      </w:r>
    </w:p>
    <w:p>
      <w:pPr>
        <w:spacing w:line="560" w:lineRule="exact"/>
        <w:ind w:firstLine="720" w:firstLineChars="22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 xml:space="preserve"> 音频码流率</w:t>
      </w:r>
      <w:r>
        <w:rPr>
          <w:rFonts w:ascii="仿宋" w:hAnsi="仿宋" w:eastAsia="仿宋"/>
          <w:sz w:val="32"/>
          <w:szCs w:val="32"/>
        </w:rPr>
        <w:t>128 Kbps(</w:t>
      </w:r>
      <w:r>
        <w:rPr>
          <w:rFonts w:hint="eastAsia" w:ascii="仿宋" w:hAnsi="仿宋" w:eastAsia="仿宋"/>
          <w:sz w:val="32"/>
          <w:szCs w:val="32"/>
        </w:rPr>
        <w:t>恒定</w:t>
      </w:r>
      <w:r>
        <w:rPr>
          <w:rFonts w:ascii="仿宋" w:hAnsi="仿宋" w:eastAsia="仿宋"/>
          <w:sz w:val="32"/>
          <w:szCs w:val="32"/>
        </w:rPr>
        <w:t>)</w:t>
      </w:r>
    </w:p>
    <w:p>
      <w:pPr>
        <w:spacing w:line="560" w:lineRule="exact"/>
        <w:ind w:firstLine="720" w:firstLineChars="225"/>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 必须是双声道，必须做混音处理。</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（四）封装</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采用</w:t>
      </w:r>
      <w:r>
        <w:rPr>
          <w:rFonts w:ascii="仿宋" w:hAnsi="仿宋" w:eastAsia="仿宋"/>
          <w:sz w:val="32"/>
          <w:szCs w:val="32"/>
        </w:rPr>
        <w:t>MP4</w:t>
      </w:r>
      <w:r>
        <w:rPr>
          <w:rFonts w:hint="eastAsia" w:ascii="仿宋" w:hAnsi="仿宋" w:eastAsia="仿宋"/>
          <w:sz w:val="32"/>
          <w:szCs w:val="32"/>
        </w:rPr>
        <w:t>封装</w:t>
      </w:r>
    </w:p>
    <w:p>
      <w:pPr>
        <w:spacing w:line="560" w:lineRule="exact"/>
        <w:ind w:firstLine="720" w:firstLineChars="225"/>
        <w:rPr>
          <w:rFonts w:ascii="楷体" w:hAnsi="楷体" w:eastAsia="楷体"/>
          <w:sz w:val="32"/>
          <w:szCs w:val="32"/>
        </w:rPr>
      </w:pPr>
      <w:r>
        <w:rPr>
          <w:rFonts w:hint="eastAsia" w:ascii="楷体" w:hAnsi="楷体" w:eastAsia="楷体"/>
          <w:sz w:val="32"/>
          <w:szCs w:val="32"/>
        </w:rPr>
        <w:t>（五）外挂唱词文件</w:t>
      </w:r>
    </w:p>
    <w:p>
      <w:pPr>
        <w:spacing w:line="560" w:lineRule="exact"/>
        <w:ind w:firstLine="838" w:firstLineChars="262"/>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唱词文件格式：独立的</w:t>
      </w:r>
      <w:r>
        <w:rPr>
          <w:rFonts w:ascii="仿宋" w:hAnsi="仿宋" w:eastAsia="仿宋"/>
          <w:sz w:val="32"/>
          <w:szCs w:val="32"/>
        </w:rPr>
        <w:t>SRT</w:t>
      </w:r>
      <w:r>
        <w:rPr>
          <w:rFonts w:hint="eastAsia" w:ascii="仿宋" w:hAnsi="仿宋" w:eastAsia="仿宋"/>
          <w:sz w:val="32"/>
          <w:szCs w:val="32"/>
        </w:rPr>
        <w:t>格式的唱词文件。</w:t>
      </w:r>
    </w:p>
    <w:p>
      <w:pPr>
        <w:spacing w:line="560" w:lineRule="exact"/>
        <w:ind w:firstLine="838" w:firstLineChars="262"/>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唱词的行数要求：每屏只有一行唱词。</w:t>
      </w:r>
    </w:p>
    <w:p>
      <w:pPr>
        <w:spacing w:line="560" w:lineRule="exact"/>
        <w:ind w:firstLine="838" w:firstLineChars="262"/>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唱词的字数要求：画幅比为</w:t>
      </w:r>
      <w:r>
        <w:rPr>
          <w:rFonts w:ascii="仿宋" w:hAnsi="仿宋" w:eastAsia="仿宋"/>
          <w:sz w:val="32"/>
          <w:szCs w:val="32"/>
        </w:rPr>
        <w:t>4:3</w:t>
      </w:r>
      <w:r>
        <w:rPr>
          <w:rFonts w:hint="eastAsia" w:ascii="仿宋" w:hAnsi="仿宋" w:eastAsia="仿宋"/>
          <w:sz w:val="32"/>
          <w:szCs w:val="32"/>
        </w:rPr>
        <w:t>的，每行不超过</w:t>
      </w:r>
      <w:r>
        <w:rPr>
          <w:rFonts w:ascii="仿宋" w:hAnsi="仿宋" w:eastAsia="仿宋"/>
          <w:sz w:val="32"/>
          <w:szCs w:val="32"/>
        </w:rPr>
        <w:t>15</w:t>
      </w:r>
      <w:r>
        <w:rPr>
          <w:rFonts w:hint="eastAsia" w:ascii="仿宋" w:hAnsi="仿宋" w:eastAsia="仿宋"/>
          <w:sz w:val="32"/>
          <w:szCs w:val="32"/>
        </w:rPr>
        <w:t>个字；画幅比为</w:t>
      </w:r>
      <w:r>
        <w:rPr>
          <w:rFonts w:ascii="仿宋" w:hAnsi="仿宋" w:eastAsia="仿宋"/>
          <w:sz w:val="32"/>
          <w:szCs w:val="32"/>
        </w:rPr>
        <w:t>16</w:t>
      </w:r>
      <w:r>
        <w:rPr>
          <w:rFonts w:hint="eastAsia" w:ascii="仿宋" w:hAnsi="仿宋" w:eastAsia="仿宋"/>
          <w:sz w:val="32"/>
          <w:szCs w:val="32"/>
        </w:rPr>
        <w:t>:</w:t>
      </w:r>
      <w:r>
        <w:rPr>
          <w:rFonts w:ascii="仿宋" w:hAnsi="仿宋" w:eastAsia="仿宋"/>
          <w:sz w:val="32"/>
          <w:szCs w:val="32"/>
        </w:rPr>
        <w:t>9</w:t>
      </w:r>
      <w:r>
        <w:rPr>
          <w:rFonts w:hint="eastAsia" w:ascii="仿宋" w:hAnsi="仿宋" w:eastAsia="仿宋"/>
          <w:sz w:val="32"/>
          <w:szCs w:val="32"/>
        </w:rPr>
        <w:t>的，每行不超过</w:t>
      </w:r>
      <w:r>
        <w:rPr>
          <w:rFonts w:ascii="仿宋" w:hAnsi="仿宋" w:eastAsia="仿宋"/>
          <w:sz w:val="32"/>
          <w:szCs w:val="32"/>
        </w:rPr>
        <w:t>20</w:t>
      </w:r>
      <w:r>
        <w:rPr>
          <w:rFonts w:hint="eastAsia" w:ascii="仿宋" w:hAnsi="仿宋" w:eastAsia="仿宋"/>
          <w:sz w:val="32"/>
          <w:szCs w:val="32"/>
        </w:rPr>
        <w:t>个字。</w:t>
      </w:r>
    </w:p>
    <w:p>
      <w:pPr>
        <w:spacing w:line="560" w:lineRule="exact"/>
        <w:ind w:firstLine="838" w:firstLineChars="262"/>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唱词的位置：保持每屏唱词出现位置一致。</w:t>
      </w:r>
    </w:p>
    <w:p>
      <w:pPr>
        <w:spacing w:line="560" w:lineRule="exact"/>
        <w:ind w:firstLine="838" w:firstLineChars="262"/>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唱词中的标点符号：只有书名号及书名号中的标点、间隔号、连接号、具有特殊含意的词语的引号可以出现在唱词中，在每屏唱词中用空格代替标点表示语气停顿，所有标点及空格均使用全角。</w:t>
      </w:r>
    </w:p>
    <w:p>
      <w:pPr>
        <w:spacing w:line="560" w:lineRule="exact"/>
        <w:ind w:firstLine="838" w:firstLineChars="262"/>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唱词的断句：不简单按照字数断句，以内容为断句依据。</w:t>
      </w:r>
    </w:p>
    <w:p>
      <w:pPr>
        <w:spacing w:line="560" w:lineRule="exact"/>
        <w:ind w:firstLine="838" w:firstLineChars="262"/>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r>
        <w:rPr>
          <w:rFonts w:ascii="仿宋" w:hAnsi="仿宋" w:eastAsia="仿宋"/>
          <w:sz w:val="32"/>
          <w:szCs w:val="32"/>
        </w:rPr>
        <w:t xml:space="preserve"> </w:t>
      </w:r>
      <w:r>
        <w:rPr>
          <w:rFonts w:hint="eastAsia" w:ascii="仿宋" w:hAnsi="仿宋" w:eastAsia="仿宋"/>
          <w:sz w:val="32"/>
          <w:szCs w:val="32"/>
        </w:rPr>
        <w:t>唱词中的数学公式、化学分子式、物理量和单位，尽量以文本文字呈现；不宜用文本文字呈现的、且在视频画面中已经通过</w:t>
      </w:r>
      <w:r>
        <w:rPr>
          <w:rFonts w:ascii="仿宋" w:hAnsi="仿宋" w:eastAsia="仿宋"/>
          <w:sz w:val="32"/>
          <w:szCs w:val="32"/>
        </w:rPr>
        <w:t>PPT</w:t>
      </w:r>
      <w:r>
        <w:rPr>
          <w:rFonts w:hint="eastAsia" w:ascii="仿宋" w:hAnsi="仿宋" w:eastAsia="仿宋"/>
          <w:sz w:val="32"/>
          <w:szCs w:val="32"/>
        </w:rPr>
        <w:t>、板书等方式显示清楚的，可以不加该行唱词。</w:t>
      </w:r>
    </w:p>
    <w:p>
      <w:pPr>
        <w:spacing w:line="560" w:lineRule="exact"/>
        <w:ind w:firstLine="835" w:firstLineChars="261"/>
        <w:rPr>
          <w:rFonts w:ascii="黑体" w:hAnsi="黑体" w:eastAsia="黑体"/>
          <w:sz w:val="32"/>
          <w:szCs w:val="32"/>
        </w:rPr>
      </w:pPr>
      <w:r>
        <w:rPr>
          <w:rFonts w:hint="eastAsia" w:ascii="黑体" w:hAnsi="黑体" w:eastAsia="黑体"/>
          <w:sz w:val="32"/>
          <w:szCs w:val="32"/>
        </w:rPr>
        <w:t>四、需交付的其他文件</w:t>
      </w:r>
    </w:p>
    <w:p>
      <w:pPr>
        <w:spacing w:line="560" w:lineRule="exact"/>
        <w:ind w:firstLine="838" w:firstLineChars="262"/>
        <w:rPr>
          <w:rFonts w:ascii="楷体" w:hAnsi="楷体" w:eastAsia="楷体"/>
          <w:sz w:val="32"/>
          <w:szCs w:val="32"/>
        </w:rPr>
      </w:pPr>
      <w:r>
        <w:rPr>
          <w:rFonts w:hint="eastAsia" w:ascii="楷体" w:hAnsi="楷体" w:eastAsia="楷体"/>
          <w:sz w:val="32"/>
          <w:szCs w:val="32"/>
        </w:rPr>
        <w:t>（一）元数据表</w:t>
      </w:r>
    </w:p>
    <w:p>
      <w:pPr>
        <w:jc w:val="center"/>
        <w:rPr>
          <w:sz w:val="30"/>
          <w:szCs w:val="30"/>
        </w:rPr>
      </w:pPr>
      <w:r>
        <w:rPr>
          <w:rFonts w:hint="eastAsia"/>
          <w:sz w:val="30"/>
          <w:szCs w:val="30"/>
        </w:rPr>
        <w:t>课程元数据表</w:t>
      </w:r>
    </w:p>
    <w:tbl>
      <w:tblPr>
        <w:tblStyle w:val="6"/>
        <w:tblpPr w:leftFromText="180" w:rightFromText="180" w:vertAnchor="text" w:horzAnchor="margin" w:tblpXSpec="center" w:tblpY="137"/>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54"/>
        <w:gridCol w:w="2216"/>
        <w:gridCol w:w="3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shd w:val="clear" w:color="auto" w:fill="EEECE1"/>
            <w:noWrap w:val="0"/>
            <w:vAlign w:val="top"/>
          </w:tcPr>
          <w:p>
            <w:pPr>
              <w:jc w:val="center"/>
              <w:rPr>
                <w:b/>
                <w:sz w:val="24"/>
                <w:szCs w:val="24"/>
              </w:rPr>
            </w:pPr>
            <w:r>
              <w:rPr>
                <w:rFonts w:hint="eastAsia"/>
                <w:b/>
                <w:sz w:val="24"/>
                <w:szCs w:val="24"/>
              </w:rPr>
              <w:t>元数据名称</w:t>
            </w:r>
          </w:p>
        </w:tc>
        <w:tc>
          <w:tcPr>
            <w:tcW w:w="1300" w:type="pct"/>
            <w:shd w:val="clear" w:color="auto" w:fill="EEECE1"/>
            <w:noWrap w:val="0"/>
            <w:vAlign w:val="top"/>
          </w:tcPr>
          <w:p>
            <w:pPr>
              <w:jc w:val="center"/>
              <w:rPr>
                <w:b/>
                <w:sz w:val="24"/>
                <w:szCs w:val="24"/>
              </w:rPr>
            </w:pPr>
            <w:r>
              <w:rPr>
                <w:rFonts w:hint="eastAsia"/>
                <w:b/>
                <w:sz w:val="24"/>
                <w:szCs w:val="24"/>
              </w:rPr>
              <w:t>内  容</w:t>
            </w:r>
          </w:p>
        </w:tc>
        <w:tc>
          <w:tcPr>
            <w:tcW w:w="2201" w:type="pct"/>
            <w:shd w:val="clear" w:color="auto" w:fill="EEECE1"/>
            <w:noWrap w:val="0"/>
            <w:vAlign w:val="top"/>
          </w:tcPr>
          <w:p>
            <w:pPr>
              <w:jc w:val="center"/>
              <w:rPr>
                <w:b/>
                <w:sz w:val="24"/>
                <w:szCs w:val="24"/>
              </w:rPr>
            </w:pPr>
            <w:r>
              <w:rPr>
                <w:rFonts w:hint="eastAsia"/>
                <w:b/>
                <w:sz w:val="24"/>
                <w:szCs w:val="24"/>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1</w:t>
            </w:r>
            <w:r>
              <w:rPr>
                <w:rFonts w:hint="eastAsia"/>
                <w:sz w:val="24"/>
                <w:szCs w:val="24"/>
              </w:rPr>
              <w:t>．课程名称</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2</w:t>
            </w:r>
            <w:r>
              <w:rPr>
                <w:rFonts w:hint="eastAsia"/>
                <w:sz w:val="24"/>
                <w:szCs w:val="24"/>
              </w:rPr>
              <w:t>．所属学院</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3</w:t>
            </w:r>
            <w:r>
              <w:rPr>
                <w:rFonts w:hint="eastAsia"/>
                <w:sz w:val="24"/>
                <w:szCs w:val="24"/>
              </w:rPr>
              <w:t>．所属学科</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r>
              <w:rPr>
                <w:rFonts w:hint="eastAsia"/>
                <w:sz w:val="24"/>
                <w:szCs w:val="24"/>
              </w:rPr>
              <w:t>根据《教育部全国普通高校专业目录表》，填写课程所属的“门类”及“一级学科”。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4</w:t>
            </w:r>
            <w:r>
              <w:rPr>
                <w:rFonts w:hint="eastAsia"/>
                <w:sz w:val="24"/>
                <w:szCs w:val="24"/>
              </w:rPr>
              <w:t>．课程简介</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5</w:t>
            </w:r>
            <w:r>
              <w:rPr>
                <w:rFonts w:hint="eastAsia"/>
                <w:sz w:val="24"/>
                <w:szCs w:val="24"/>
              </w:rPr>
              <w:t>．课程总讲数</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6</w:t>
            </w:r>
            <w:r>
              <w:rPr>
                <w:rFonts w:hint="eastAsia"/>
                <w:sz w:val="24"/>
                <w:szCs w:val="24"/>
              </w:rPr>
              <w:t>．主讲教师姓名</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7</w:t>
            </w:r>
            <w:r>
              <w:rPr>
                <w:rFonts w:hint="eastAsia"/>
                <w:sz w:val="24"/>
                <w:szCs w:val="24"/>
              </w:rPr>
              <w:t>．主讲教师基本信息</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r>
              <w:rPr>
                <w:rFonts w:hint="eastAsia"/>
                <w:sz w:val="24"/>
                <w:szCs w:val="24"/>
              </w:rPr>
              <w:t>性别、出生年月、专业技术职务、获奖信息、学术成果、电子邮箱。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8</w:t>
            </w:r>
            <w:r>
              <w:rPr>
                <w:rFonts w:hint="eastAsia"/>
                <w:sz w:val="24"/>
                <w:szCs w:val="24"/>
              </w:rPr>
              <w:t>．主讲教师照片</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r>
              <w:rPr>
                <w:rFonts w:hint="eastAsia"/>
                <w:sz w:val="24"/>
                <w:szCs w:val="24"/>
              </w:rPr>
              <w:t>照片为</w:t>
            </w:r>
            <w:r>
              <w:rPr>
                <w:sz w:val="24"/>
                <w:szCs w:val="24"/>
              </w:rPr>
              <w:t>800*600</w:t>
            </w:r>
            <w:r>
              <w:rPr>
                <w:rFonts w:hint="eastAsia"/>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9</w:t>
            </w:r>
            <w:r>
              <w:rPr>
                <w:rFonts w:hint="eastAsia"/>
                <w:sz w:val="24"/>
                <w:szCs w:val="24"/>
              </w:rPr>
              <w:t>．制作单位</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10</w:t>
            </w:r>
            <w:r>
              <w:rPr>
                <w:rFonts w:hint="eastAsia"/>
                <w:sz w:val="24"/>
                <w:szCs w:val="24"/>
              </w:rPr>
              <w:t>．版权信息</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11</w:t>
            </w:r>
            <w:r>
              <w:rPr>
                <w:rFonts w:hint="eastAsia"/>
                <w:sz w:val="24"/>
                <w:szCs w:val="24"/>
              </w:rPr>
              <w:t>．语  种</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r>
              <w:rPr>
                <w:rFonts w:hint="eastAsia"/>
                <w:sz w:val="24"/>
                <w:szCs w:val="24"/>
              </w:rPr>
              <w:t>缺省为中文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8" w:type="pct"/>
            <w:noWrap w:val="0"/>
            <w:vAlign w:val="center"/>
          </w:tcPr>
          <w:p>
            <w:pPr>
              <w:jc w:val="left"/>
              <w:rPr>
                <w:sz w:val="24"/>
                <w:szCs w:val="24"/>
              </w:rPr>
            </w:pPr>
            <w:r>
              <w:rPr>
                <w:sz w:val="24"/>
                <w:szCs w:val="24"/>
              </w:rPr>
              <w:t>12</w:t>
            </w:r>
            <w:r>
              <w:rPr>
                <w:rFonts w:hint="eastAsia"/>
                <w:sz w:val="24"/>
                <w:szCs w:val="24"/>
              </w:rPr>
              <w:t>．备  注</w:t>
            </w:r>
          </w:p>
        </w:tc>
        <w:tc>
          <w:tcPr>
            <w:tcW w:w="1300" w:type="pct"/>
            <w:noWrap w:val="0"/>
            <w:vAlign w:val="center"/>
          </w:tcPr>
          <w:p>
            <w:pPr>
              <w:jc w:val="left"/>
              <w:rPr>
                <w:sz w:val="24"/>
                <w:szCs w:val="24"/>
              </w:rPr>
            </w:pPr>
          </w:p>
        </w:tc>
        <w:tc>
          <w:tcPr>
            <w:tcW w:w="2201" w:type="pct"/>
            <w:noWrap w:val="0"/>
            <w:vAlign w:val="center"/>
          </w:tcPr>
          <w:p>
            <w:pPr>
              <w:jc w:val="left"/>
              <w:rPr>
                <w:sz w:val="24"/>
                <w:szCs w:val="24"/>
              </w:rPr>
            </w:pPr>
          </w:p>
        </w:tc>
      </w:tr>
    </w:tbl>
    <w:p>
      <w:pPr>
        <w:rPr>
          <w:b/>
          <w:sz w:val="28"/>
          <w:szCs w:val="28"/>
        </w:rPr>
      </w:pPr>
    </w:p>
    <w:p>
      <w:pPr>
        <w:jc w:val="center"/>
        <w:rPr>
          <w:sz w:val="30"/>
          <w:szCs w:val="30"/>
        </w:rPr>
      </w:pPr>
      <w:r>
        <w:rPr>
          <w:rFonts w:hint="eastAsia"/>
          <w:sz w:val="30"/>
          <w:szCs w:val="30"/>
        </w:rPr>
        <w:t>分讲元数据表</w:t>
      </w:r>
    </w:p>
    <w:tbl>
      <w:tblPr>
        <w:tblStyle w:val="6"/>
        <w:tblpPr w:leftFromText="180" w:rightFromText="180" w:vertAnchor="text" w:horzAnchor="margin" w:tblpXSpec="center" w:tblpY="137"/>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17"/>
        <w:gridCol w:w="2853"/>
        <w:gridCol w:w="3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shd w:val="clear" w:color="auto" w:fill="EEECE1"/>
            <w:noWrap w:val="0"/>
            <w:vAlign w:val="center"/>
          </w:tcPr>
          <w:p>
            <w:pPr>
              <w:jc w:val="center"/>
              <w:rPr>
                <w:rFonts w:ascii="宋体" w:hAnsi="宋体"/>
                <w:b/>
                <w:sz w:val="24"/>
                <w:szCs w:val="24"/>
              </w:rPr>
            </w:pPr>
            <w:r>
              <w:rPr>
                <w:rFonts w:hint="eastAsia" w:ascii="宋体" w:hAnsi="宋体"/>
                <w:b/>
                <w:sz w:val="24"/>
                <w:szCs w:val="24"/>
              </w:rPr>
              <w:t>元数据名称</w:t>
            </w:r>
          </w:p>
        </w:tc>
        <w:tc>
          <w:tcPr>
            <w:tcW w:w="1674" w:type="pct"/>
            <w:shd w:val="clear" w:color="auto" w:fill="EEECE1"/>
            <w:noWrap w:val="0"/>
            <w:vAlign w:val="center"/>
          </w:tcPr>
          <w:p>
            <w:pPr>
              <w:jc w:val="center"/>
              <w:rPr>
                <w:rFonts w:ascii="宋体" w:hAnsi="宋体"/>
                <w:b/>
                <w:sz w:val="24"/>
                <w:szCs w:val="24"/>
              </w:rPr>
            </w:pPr>
            <w:r>
              <w:rPr>
                <w:rFonts w:hint="eastAsia" w:ascii="宋体" w:hAnsi="宋体"/>
                <w:b/>
                <w:sz w:val="24"/>
                <w:szCs w:val="24"/>
              </w:rPr>
              <w:t>内容</w:t>
            </w:r>
          </w:p>
        </w:tc>
        <w:tc>
          <w:tcPr>
            <w:tcW w:w="2026" w:type="pct"/>
            <w:shd w:val="clear" w:color="auto" w:fill="EEECE1"/>
            <w:noWrap w:val="0"/>
            <w:vAlign w:val="center"/>
          </w:tcPr>
          <w:p>
            <w:pPr>
              <w:jc w:val="center"/>
              <w:rPr>
                <w:rFonts w:ascii="宋体" w:hAnsi="宋体"/>
                <w:b/>
                <w:sz w:val="24"/>
                <w:szCs w:val="24"/>
              </w:rPr>
            </w:pPr>
            <w:r>
              <w:rPr>
                <w:rFonts w:hint="eastAsia" w:ascii="宋体" w:hAnsi="宋体"/>
                <w:b/>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1</w:t>
            </w:r>
            <w:r>
              <w:rPr>
                <w:rFonts w:hint="eastAsia" w:ascii="宋体" w:hAnsi="宋体"/>
                <w:sz w:val="24"/>
                <w:szCs w:val="24"/>
              </w:rPr>
              <w:t>．讲  次</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2</w:t>
            </w:r>
            <w:r>
              <w:rPr>
                <w:rFonts w:hint="eastAsia" w:ascii="宋体" w:hAnsi="宋体"/>
                <w:sz w:val="24"/>
                <w:szCs w:val="24"/>
              </w:rPr>
              <w:t>．本讲标题</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应与光盘内容吻合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3</w:t>
            </w:r>
            <w:r>
              <w:rPr>
                <w:rFonts w:hint="eastAsia" w:ascii="宋体" w:hAnsi="宋体"/>
                <w:sz w:val="24"/>
                <w:szCs w:val="24"/>
              </w:rPr>
              <w:t>．课程名称</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本讲所属课程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4</w:t>
            </w:r>
            <w:r>
              <w:rPr>
                <w:rFonts w:hint="eastAsia" w:ascii="宋体" w:hAnsi="宋体"/>
                <w:sz w:val="24"/>
                <w:szCs w:val="24"/>
              </w:rPr>
              <w:t>．本讲简介</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5</w:t>
            </w:r>
            <w:r>
              <w:rPr>
                <w:rFonts w:hint="eastAsia" w:ascii="宋体" w:hAnsi="宋体"/>
                <w:sz w:val="24"/>
                <w:szCs w:val="24"/>
              </w:rPr>
              <w:t>．本讲关键词</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用于检索的关键词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6</w:t>
            </w:r>
            <w:r>
              <w:rPr>
                <w:rFonts w:hint="eastAsia" w:ascii="宋体" w:hAnsi="宋体"/>
                <w:sz w:val="24"/>
                <w:szCs w:val="24"/>
              </w:rPr>
              <w:t>．本讲时长</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7</w:t>
            </w:r>
            <w:r>
              <w:rPr>
                <w:rFonts w:hint="eastAsia" w:ascii="宋体" w:hAnsi="宋体"/>
                <w:sz w:val="24"/>
                <w:szCs w:val="24"/>
              </w:rPr>
              <w:t>．本讲主讲教师姓名</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如本课程只有一位主讲，不填</w:t>
            </w:r>
            <w:r>
              <w:rPr>
                <w:rFonts w:ascii="宋体" w:hAnsi="宋体"/>
                <w:sz w:val="24"/>
                <w:szCs w:val="24"/>
              </w:rPr>
              <w:t>7-10</w:t>
            </w:r>
            <w:r>
              <w:rPr>
                <w:rFonts w:hint="eastAsia" w:ascii="宋体" w:hAnsi="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8</w:t>
            </w:r>
            <w:r>
              <w:rPr>
                <w:rFonts w:hint="eastAsia" w:ascii="宋体" w:hAnsi="宋体"/>
                <w:sz w:val="24"/>
                <w:szCs w:val="24"/>
              </w:rPr>
              <w:t>．本讲教师基本信息</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填写本讲老师信息（专业技术职务、获奖信息、学术成果、性别、出生年月、邮箱）。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9</w:t>
            </w:r>
            <w:r>
              <w:rPr>
                <w:rFonts w:hint="eastAsia" w:ascii="宋体" w:hAnsi="宋体"/>
                <w:sz w:val="24"/>
                <w:szCs w:val="24"/>
              </w:rPr>
              <w:t>．本讲教师照片</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照片为</w:t>
            </w:r>
            <w:r>
              <w:rPr>
                <w:rFonts w:ascii="宋体" w:hAnsi="宋体"/>
                <w:sz w:val="24"/>
                <w:szCs w:val="24"/>
              </w:rPr>
              <w:t>800*600</w:t>
            </w:r>
            <w:r>
              <w:rPr>
                <w:rFonts w:hint="eastAsia" w:ascii="宋体" w:hAnsi="宋体"/>
                <w:sz w:val="24"/>
                <w:szCs w:val="24"/>
              </w:rPr>
              <w:t>像素，必须为课堂教学照片，要求单独拍摄，不得使用视频截图。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01" w:type="pct"/>
            <w:noWrap w:val="0"/>
            <w:vAlign w:val="top"/>
          </w:tcPr>
          <w:p>
            <w:pPr>
              <w:rPr>
                <w:rFonts w:ascii="宋体" w:hAnsi="宋体"/>
                <w:sz w:val="24"/>
                <w:szCs w:val="24"/>
              </w:rPr>
            </w:pPr>
            <w:r>
              <w:rPr>
                <w:rFonts w:ascii="宋体" w:hAnsi="宋体"/>
                <w:sz w:val="24"/>
                <w:szCs w:val="24"/>
              </w:rPr>
              <w:t>10</w:t>
            </w:r>
            <w:r>
              <w:rPr>
                <w:rFonts w:hint="eastAsia" w:ascii="宋体" w:hAnsi="宋体"/>
                <w:sz w:val="24"/>
                <w:szCs w:val="24"/>
              </w:rPr>
              <w:t>．讲课日期</w:t>
            </w:r>
          </w:p>
        </w:tc>
        <w:tc>
          <w:tcPr>
            <w:tcW w:w="1674" w:type="pct"/>
            <w:noWrap w:val="0"/>
            <w:vAlign w:val="top"/>
          </w:tcPr>
          <w:p>
            <w:pPr>
              <w:rPr>
                <w:rFonts w:ascii="宋体" w:hAnsi="宋体"/>
                <w:sz w:val="24"/>
                <w:szCs w:val="24"/>
              </w:rPr>
            </w:pPr>
          </w:p>
        </w:tc>
        <w:tc>
          <w:tcPr>
            <w:tcW w:w="2026" w:type="pct"/>
            <w:noWrap w:val="0"/>
            <w:vAlign w:val="top"/>
          </w:tcPr>
          <w:p>
            <w:pPr>
              <w:rPr>
                <w:rFonts w:ascii="宋体" w:hAnsi="宋体"/>
                <w:sz w:val="24"/>
                <w:szCs w:val="24"/>
              </w:rPr>
            </w:pPr>
            <w:r>
              <w:rPr>
                <w:rFonts w:hint="eastAsia" w:ascii="宋体" w:hAnsi="宋体"/>
                <w:sz w:val="24"/>
                <w:szCs w:val="24"/>
              </w:rPr>
              <w:t>拍摄年月</w:t>
            </w:r>
          </w:p>
        </w:tc>
      </w:tr>
    </w:tbl>
    <w:p>
      <w:pPr>
        <w:spacing w:line="560" w:lineRule="exact"/>
        <w:ind w:firstLine="480" w:firstLineChars="150"/>
        <w:rPr>
          <w:rFonts w:ascii="仿宋" w:hAnsi="仿宋" w:eastAsia="仿宋"/>
          <w:sz w:val="32"/>
          <w:szCs w:val="32"/>
        </w:rPr>
      </w:pPr>
      <w:r>
        <w:rPr>
          <w:rFonts w:hint="eastAsia" w:ascii="仿宋" w:hAnsi="仿宋" w:eastAsia="仿宋"/>
          <w:sz w:val="32"/>
          <w:szCs w:val="32"/>
        </w:rPr>
        <w:t>注：1. 以上元数据表单须在excel文档中填写。</w:t>
      </w:r>
    </w:p>
    <w:p>
      <w:pPr>
        <w:spacing w:line="560" w:lineRule="exact"/>
        <w:ind w:firstLine="1120" w:firstLineChars="350"/>
        <w:rPr>
          <w:rFonts w:ascii="仿宋" w:hAnsi="仿宋" w:eastAsia="仿宋"/>
          <w:sz w:val="32"/>
          <w:szCs w:val="32"/>
        </w:rPr>
      </w:pPr>
      <w:r>
        <w:rPr>
          <w:rFonts w:hint="eastAsia" w:ascii="仿宋" w:hAnsi="仿宋" w:eastAsia="仿宋"/>
          <w:sz w:val="32"/>
          <w:szCs w:val="32"/>
        </w:rPr>
        <w:t>2. 每讲的视频文件（mp4）及配套的元数据文件（excel）、字幕文件(SRT)须使用相同的文件名、不同的扩展名。</w:t>
      </w:r>
    </w:p>
    <w:p>
      <w:pPr>
        <w:spacing w:line="560" w:lineRule="exact"/>
        <w:ind w:firstLine="480" w:firstLineChars="150"/>
        <w:rPr>
          <w:rFonts w:ascii="楷体" w:hAnsi="楷体" w:eastAsia="楷体"/>
          <w:sz w:val="32"/>
          <w:szCs w:val="32"/>
        </w:rPr>
      </w:pPr>
      <w:r>
        <w:rPr>
          <w:rFonts w:hint="eastAsia" w:ascii="楷体" w:hAnsi="楷体" w:eastAsia="楷体"/>
          <w:sz w:val="32"/>
          <w:szCs w:val="32"/>
        </w:rPr>
        <w:t>（二）课程目录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461"/>
        <w:gridCol w:w="185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758" w:type="dxa"/>
            <w:noWrap w:val="0"/>
            <w:vAlign w:val="center"/>
          </w:tcPr>
          <w:p>
            <w:pPr>
              <w:rPr>
                <w:sz w:val="24"/>
                <w:szCs w:val="24"/>
              </w:rPr>
            </w:pPr>
            <w:r>
              <w:rPr>
                <w:rFonts w:hint="eastAsia"/>
                <w:sz w:val="24"/>
                <w:szCs w:val="24"/>
              </w:rPr>
              <w:t>课程名称</w:t>
            </w:r>
          </w:p>
        </w:tc>
        <w:tc>
          <w:tcPr>
            <w:tcW w:w="6078" w:type="dxa"/>
            <w:gridSpan w:val="3"/>
            <w:noWrap w:val="0"/>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758" w:type="dxa"/>
            <w:shd w:val="clear" w:color="auto" w:fill="EEECE1"/>
            <w:noWrap w:val="0"/>
            <w:vAlign w:val="center"/>
          </w:tcPr>
          <w:p>
            <w:pPr>
              <w:rPr>
                <w:sz w:val="24"/>
                <w:szCs w:val="24"/>
              </w:rPr>
            </w:pPr>
            <w:r>
              <w:rPr>
                <w:rFonts w:hint="eastAsia"/>
                <w:sz w:val="24"/>
                <w:szCs w:val="24"/>
              </w:rPr>
              <w:t>讲 次</w:t>
            </w:r>
          </w:p>
        </w:tc>
        <w:tc>
          <w:tcPr>
            <w:tcW w:w="2461" w:type="dxa"/>
            <w:shd w:val="clear" w:color="auto" w:fill="EEECE1"/>
            <w:noWrap w:val="0"/>
            <w:vAlign w:val="center"/>
          </w:tcPr>
          <w:p>
            <w:pPr>
              <w:rPr>
                <w:sz w:val="24"/>
                <w:szCs w:val="24"/>
              </w:rPr>
            </w:pPr>
            <w:r>
              <w:rPr>
                <w:rFonts w:hint="eastAsia"/>
                <w:sz w:val="24"/>
                <w:szCs w:val="24"/>
              </w:rPr>
              <w:t>本讲标题</w:t>
            </w:r>
          </w:p>
        </w:tc>
        <w:tc>
          <w:tcPr>
            <w:tcW w:w="1859" w:type="dxa"/>
            <w:shd w:val="clear" w:color="auto" w:fill="EEECE1"/>
            <w:noWrap w:val="0"/>
            <w:vAlign w:val="center"/>
          </w:tcPr>
          <w:p>
            <w:pPr>
              <w:rPr>
                <w:sz w:val="24"/>
                <w:szCs w:val="24"/>
              </w:rPr>
            </w:pPr>
            <w:r>
              <w:rPr>
                <w:rFonts w:hint="eastAsia"/>
                <w:sz w:val="24"/>
                <w:szCs w:val="24"/>
              </w:rPr>
              <w:t>本讲主讲教师</w:t>
            </w:r>
          </w:p>
        </w:tc>
        <w:tc>
          <w:tcPr>
            <w:tcW w:w="1758" w:type="dxa"/>
            <w:shd w:val="clear" w:color="auto" w:fill="EEECE1"/>
            <w:noWrap w:val="0"/>
            <w:vAlign w:val="center"/>
          </w:tcPr>
          <w:p>
            <w:pPr>
              <w:rPr>
                <w:sz w:val="24"/>
                <w:szCs w:val="24"/>
              </w:rPr>
            </w:pPr>
            <w:r>
              <w:rPr>
                <w:rFonts w:hint="eastAsia"/>
                <w:sz w:val="24"/>
                <w:szCs w:val="24"/>
              </w:rPr>
              <w:t>本讲时长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758" w:type="dxa"/>
            <w:noWrap w:val="0"/>
            <w:vAlign w:val="top"/>
          </w:tcPr>
          <w:p>
            <w:pPr>
              <w:rPr>
                <w:sz w:val="24"/>
                <w:szCs w:val="24"/>
              </w:rPr>
            </w:pPr>
          </w:p>
        </w:tc>
        <w:tc>
          <w:tcPr>
            <w:tcW w:w="2461" w:type="dxa"/>
            <w:noWrap w:val="0"/>
            <w:vAlign w:val="top"/>
          </w:tcPr>
          <w:p>
            <w:pPr>
              <w:rPr>
                <w:sz w:val="24"/>
                <w:szCs w:val="24"/>
              </w:rPr>
            </w:pPr>
          </w:p>
        </w:tc>
        <w:tc>
          <w:tcPr>
            <w:tcW w:w="1859" w:type="dxa"/>
            <w:noWrap w:val="0"/>
            <w:vAlign w:val="top"/>
          </w:tcPr>
          <w:p>
            <w:pPr>
              <w:rPr>
                <w:sz w:val="24"/>
                <w:szCs w:val="24"/>
              </w:rPr>
            </w:pPr>
          </w:p>
        </w:tc>
        <w:tc>
          <w:tcPr>
            <w:tcW w:w="1758" w:type="dxa"/>
            <w:noWrap w:val="0"/>
            <w:vAlign w:val="top"/>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758" w:type="dxa"/>
            <w:noWrap w:val="0"/>
            <w:vAlign w:val="top"/>
          </w:tcPr>
          <w:p>
            <w:pPr>
              <w:rPr>
                <w:sz w:val="24"/>
                <w:szCs w:val="24"/>
              </w:rPr>
            </w:pPr>
          </w:p>
        </w:tc>
        <w:tc>
          <w:tcPr>
            <w:tcW w:w="2461" w:type="dxa"/>
            <w:noWrap w:val="0"/>
            <w:vAlign w:val="top"/>
          </w:tcPr>
          <w:p>
            <w:pPr>
              <w:rPr>
                <w:sz w:val="24"/>
                <w:szCs w:val="24"/>
              </w:rPr>
            </w:pPr>
          </w:p>
        </w:tc>
        <w:tc>
          <w:tcPr>
            <w:tcW w:w="1859" w:type="dxa"/>
            <w:noWrap w:val="0"/>
            <w:vAlign w:val="top"/>
          </w:tcPr>
          <w:p>
            <w:pPr>
              <w:rPr>
                <w:sz w:val="24"/>
                <w:szCs w:val="24"/>
              </w:rPr>
            </w:pPr>
          </w:p>
        </w:tc>
        <w:tc>
          <w:tcPr>
            <w:tcW w:w="1758" w:type="dxa"/>
            <w:noWrap w:val="0"/>
            <w:vAlign w:val="top"/>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758" w:type="dxa"/>
            <w:noWrap w:val="0"/>
            <w:vAlign w:val="top"/>
          </w:tcPr>
          <w:p>
            <w:pPr>
              <w:rPr>
                <w:sz w:val="24"/>
                <w:szCs w:val="24"/>
              </w:rPr>
            </w:pPr>
          </w:p>
        </w:tc>
        <w:tc>
          <w:tcPr>
            <w:tcW w:w="2461" w:type="dxa"/>
            <w:noWrap w:val="0"/>
            <w:vAlign w:val="top"/>
          </w:tcPr>
          <w:p>
            <w:pPr>
              <w:rPr>
                <w:sz w:val="24"/>
                <w:szCs w:val="24"/>
              </w:rPr>
            </w:pPr>
          </w:p>
        </w:tc>
        <w:tc>
          <w:tcPr>
            <w:tcW w:w="1859" w:type="dxa"/>
            <w:noWrap w:val="0"/>
            <w:vAlign w:val="top"/>
          </w:tcPr>
          <w:p>
            <w:pPr>
              <w:rPr>
                <w:sz w:val="24"/>
                <w:szCs w:val="24"/>
              </w:rPr>
            </w:pPr>
          </w:p>
        </w:tc>
        <w:tc>
          <w:tcPr>
            <w:tcW w:w="1758" w:type="dxa"/>
            <w:noWrap w:val="0"/>
            <w:vAlign w:val="top"/>
          </w:tcPr>
          <w:p>
            <w:pPr>
              <w:rPr>
                <w:sz w:val="24"/>
                <w:szCs w:val="24"/>
              </w:rPr>
            </w:pPr>
          </w:p>
        </w:tc>
      </w:tr>
    </w:tbl>
    <w:p>
      <w:pPr>
        <w:spacing w:line="560" w:lineRule="exact"/>
        <w:ind w:firstLine="720" w:firstLineChars="225"/>
        <w:rPr>
          <w:rFonts w:ascii="楷体" w:hAnsi="楷体" w:eastAsia="楷体"/>
          <w:sz w:val="32"/>
          <w:szCs w:val="32"/>
        </w:rPr>
      </w:pPr>
      <w:r>
        <w:rPr>
          <w:rFonts w:hint="eastAsia" w:ascii="楷体" w:hAnsi="楷体" w:eastAsia="楷体"/>
          <w:sz w:val="32"/>
          <w:szCs w:val="32"/>
        </w:rPr>
        <w:t>（三）课程推介词</w:t>
      </w:r>
    </w:p>
    <w:p>
      <w:pPr>
        <w:spacing w:line="560" w:lineRule="exact"/>
        <w:ind w:firstLine="720" w:firstLineChars="225"/>
        <w:rPr>
          <w:rFonts w:ascii="仿宋" w:hAnsi="仿宋" w:eastAsia="仿宋"/>
          <w:sz w:val="32"/>
          <w:szCs w:val="32"/>
        </w:rPr>
      </w:pPr>
      <w:r>
        <w:rPr>
          <w:rFonts w:hint="eastAsia" w:ascii="仿宋" w:hAnsi="仿宋" w:eastAsia="仿宋"/>
          <w:sz w:val="32"/>
          <w:szCs w:val="32"/>
        </w:rPr>
        <w:t>用生动形象的语言描述课程内容，</w:t>
      </w:r>
      <w:r>
        <w:rPr>
          <w:rFonts w:ascii="仿宋" w:hAnsi="仿宋" w:eastAsia="仿宋"/>
          <w:sz w:val="32"/>
          <w:szCs w:val="32"/>
        </w:rPr>
        <w:t>200</w:t>
      </w:r>
      <w:r>
        <w:rPr>
          <w:rFonts w:hint="eastAsia" w:ascii="仿宋" w:hAnsi="仿宋" w:eastAsia="仿宋"/>
          <w:sz w:val="32"/>
          <w:szCs w:val="32"/>
        </w:rPr>
        <w:t>字以内，用于课程在网络上的宣传推广。</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（四）提交方式</w:t>
      </w:r>
    </w:p>
    <w:p>
      <w:pPr>
        <w:rPr>
          <w:rFonts w:hint="eastAsia" w:ascii="仿宋" w:hAnsi="仿宋" w:eastAsia="仿宋"/>
          <w:sz w:val="32"/>
          <w:szCs w:val="32"/>
        </w:rPr>
      </w:pPr>
      <w:r>
        <w:rPr>
          <w:rFonts w:hint="eastAsia" w:ascii="仿宋" w:hAnsi="仿宋" w:eastAsia="仿宋"/>
          <w:sz w:val="32"/>
          <w:szCs w:val="32"/>
        </w:rPr>
        <w:t>元数据、课程目录及课程推介词等文件的电子版应压制在单独的</w:t>
      </w:r>
      <w:r>
        <w:rPr>
          <w:rFonts w:ascii="仿宋" w:hAnsi="仿宋" w:eastAsia="仿宋"/>
          <w:sz w:val="32"/>
          <w:szCs w:val="32"/>
        </w:rPr>
        <w:t>CD-R</w:t>
      </w:r>
      <w:r>
        <w:rPr>
          <w:rFonts w:hint="eastAsia" w:ascii="仿宋" w:hAnsi="仿宋" w:eastAsia="仿宋"/>
          <w:sz w:val="32"/>
          <w:szCs w:val="32"/>
        </w:rPr>
        <w:t>光盘中，同时打印纸质版报</w:t>
      </w:r>
      <w:r>
        <w:rPr>
          <w:rFonts w:ascii="仿宋" w:hAnsi="仿宋" w:eastAsia="仿宋"/>
          <w:sz w:val="32"/>
          <w:szCs w:val="32"/>
        </w:rPr>
        <w:t>教务处</w:t>
      </w:r>
      <w:r>
        <w:rPr>
          <w:rFonts w:hint="eastAsia" w:ascii="仿宋" w:hAnsi="仿宋" w:eastAsia="仿宋"/>
          <w:sz w:val="32"/>
          <w:szCs w:val="32"/>
        </w:rPr>
        <w:t>。</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黑体_GBK">
    <w:altName w:val="微软雅黑"/>
    <w:panose1 w:val="00000000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NmU3YzM1MTJiMGU5Y2Q1OTM1ZmMyYWM1M2YyNDUifQ=="/>
  </w:docVars>
  <w:rsids>
    <w:rsidRoot w:val="00E65537"/>
    <w:rsid w:val="000B271E"/>
    <w:rsid w:val="000D6415"/>
    <w:rsid w:val="000F305B"/>
    <w:rsid w:val="00105981"/>
    <w:rsid w:val="00165A7A"/>
    <w:rsid w:val="00174F62"/>
    <w:rsid w:val="001B734C"/>
    <w:rsid w:val="0031667E"/>
    <w:rsid w:val="0036723C"/>
    <w:rsid w:val="003854E7"/>
    <w:rsid w:val="00393307"/>
    <w:rsid w:val="004218D3"/>
    <w:rsid w:val="005648C4"/>
    <w:rsid w:val="00580026"/>
    <w:rsid w:val="006B0605"/>
    <w:rsid w:val="007027A2"/>
    <w:rsid w:val="00727054"/>
    <w:rsid w:val="00772DE6"/>
    <w:rsid w:val="007A6412"/>
    <w:rsid w:val="00910F5B"/>
    <w:rsid w:val="009244F5"/>
    <w:rsid w:val="009D58AA"/>
    <w:rsid w:val="00A87444"/>
    <w:rsid w:val="00B61E5B"/>
    <w:rsid w:val="00BC136E"/>
    <w:rsid w:val="00C00196"/>
    <w:rsid w:val="00C764D0"/>
    <w:rsid w:val="00CE0208"/>
    <w:rsid w:val="00E341F9"/>
    <w:rsid w:val="00E542D0"/>
    <w:rsid w:val="00E65537"/>
    <w:rsid w:val="00EF7C02"/>
    <w:rsid w:val="00F00410"/>
    <w:rsid w:val="00F4618F"/>
    <w:rsid w:val="00F5580A"/>
    <w:rsid w:val="00F67EF8"/>
    <w:rsid w:val="00F755C4"/>
    <w:rsid w:val="040D00EE"/>
    <w:rsid w:val="04D05CEB"/>
    <w:rsid w:val="08251EAA"/>
    <w:rsid w:val="0C1266E1"/>
    <w:rsid w:val="0CAF690B"/>
    <w:rsid w:val="0FA07748"/>
    <w:rsid w:val="16CB00C0"/>
    <w:rsid w:val="16CD208A"/>
    <w:rsid w:val="177141A3"/>
    <w:rsid w:val="17E83B26"/>
    <w:rsid w:val="1C7825F7"/>
    <w:rsid w:val="1D8965DF"/>
    <w:rsid w:val="22785EB8"/>
    <w:rsid w:val="2A504814"/>
    <w:rsid w:val="2C5A6F31"/>
    <w:rsid w:val="2D34101E"/>
    <w:rsid w:val="304B66C9"/>
    <w:rsid w:val="31465C91"/>
    <w:rsid w:val="36607CD1"/>
    <w:rsid w:val="366963C1"/>
    <w:rsid w:val="38206066"/>
    <w:rsid w:val="38875579"/>
    <w:rsid w:val="39317DFF"/>
    <w:rsid w:val="3B363BE4"/>
    <w:rsid w:val="3B806E1C"/>
    <w:rsid w:val="3D5A2496"/>
    <w:rsid w:val="411539D2"/>
    <w:rsid w:val="422E5823"/>
    <w:rsid w:val="453B44DF"/>
    <w:rsid w:val="46175454"/>
    <w:rsid w:val="4BFA5DF2"/>
    <w:rsid w:val="4CF632EC"/>
    <w:rsid w:val="4D5C07F9"/>
    <w:rsid w:val="56836ECF"/>
    <w:rsid w:val="570D1E6B"/>
    <w:rsid w:val="5A0E0E81"/>
    <w:rsid w:val="5A511C57"/>
    <w:rsid w:val="5BA33419"/>
    <w:rsid w:val="5E400B67"/>
    <w:rsid w:val="62127610"/>
    <w:rsid w:val="633D721D"/>
    <w:rsid w:val="660313CB"/>
    <w:rsid w:val="68BA4E54"/>
    <w:rsid w:val="69E17AB7"/>
    <w:rsid w:val="69FA5E67"/>
    <w:rsid w:val="6F6C1350"/>
    <w:rsid w:val="731C4E2D"/>
    <w:rsid w:val="76AF1FB9"/>
    <w:rsid w:val="779B7881"/>
    <w:rsid w:val="793A650E"/>
    <w:rsid w:val="798412AA"/>
    <w:rsid w:val="79B9661A"/>
    <w:rsid w:val="7B8363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customStyle="1" w:styleId="9">
    <w:name w:val="页眉 字符"/>
    <w:link w:val="4"/>
    <w:qFormat/>
    <w:uiPriority w:val="0"/>
    <w:rPr>
      <w:kern w:val="2"/>
      <w:sz w:val="18"/>
      <w:szCs w:val="18"/>
    </w:rPr>
  </w:style>
  <w:style w:type="character" w:customStyle="1" w:styleId="10">
    <w:name w:val="页脚 字符"/>
    <w:link w:val="3"/>
    <w:qFormat/>
    <w:uiPriority w:val="0"/>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6350</Words>
  <Characters>6621</Characters>
  <Lines>36</Lines>
  <Paragraphs>10</Paragraphs>
  <TotalTime>0</TotalTime>
  <ScaleCrop>false</ScaleCrop>
  <LinksUpToDate>false</LinksUpToDate>
  <CharactersWithSpaces>6741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2022-08-25T14:23:00Z</dcterms:created>
  <dc:creator>LYM</dc:creator>
  <cp:lastModifiedBy>Administrator</cp:lastModifiedBy>
  <dcterms:modified xsi:type="dcterms:W3CDTF">2023-02-16T07:44:45Z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2A000106D91540A48F8B2E53D181AB18</vt:lpwstr>
  </property>
</Properties>
</file>