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 w:cstheme="minorEastAsia"/>
          <w:b/>
          <w:bCs/>
          <w:sz w:val="36"/>
          <w:szCs w:val="36"/>
          <w:lang w:val="en-US"/>
        </w:rPr>
      </w:pPr>
      <w:r>
        <w:rPr>
          <w:rFonts w:hint="eastAsia" w:asciiTheme="majorEastAsia" w:hAnsiTheme="majorEastAsia" w:eastAsiaTheme="majorEastAsia" w:cstheme="minorEastAsia"/>
          <w:b/>
          <w:bCs/>
          <w:sz w:val="36"/>
          <w:szCs w:val="36"/>
          <w:lang w:val="en-US"/>
        </w:rPr>
        <w:t>云南医药健康职业学院校级精品视频公开课立项评分表</w:t>
      </w:r>
    </w:p>
    <w:p>
      <w:pPr>
        <w:rPr>
          <w:rFonts w:hint="eastAsia"/>
          <w:b/>
          <w:bCs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/>
        </w:rPr>
        <w:t xml:space="preserve"> 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  <w:szCs w:val="24"/>
          <w:lang w:val="en-US"/>
        </w:rPr>
        <w:t>项目负责人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/>
        </w:rPr>
        <w:t xml:space="preserve">___________________   </w:t>
      </w:r>
      <w:r>
        <w:rPr>
          <w:rFonts w:asciiTheme="minorEastAsia" w:hAnsiTheme="minorEastAsia" w:eastAsiaTheme="minorEastAsia" w:cstheme="minorEastAsia"/>
          <w:b/>
          <w:bCs/>
          <w:sz w:val="24"/>
          <w:szCs w:val="24"/>
          <w:lang w:val="en-US"/>
        </w:rPr>
        <w:t xml:space="preserve">              </w:t>
      </w:r>
      <w:r>
        <w:rPr>
          <w:rFonts w:hint="eastAsia"/>
          <w:b/>
          <w:bCs/>
          <w:sz w:val="24"/>
          <w:szCs w:val="24"/>
          <w:lang w:val="en-US"/>
        </w:rPr>
        <w:t xml:space="preserve">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项目名称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/>
        </w:rPr>
        <w:t>____________________</w:t>
      </w:r>
    </w:p>
    <w:tbl>
      <w:tblPr>
        <w:tblStyle w:val="5"/>
        <w:tblpPr w:leftFromText="180" w:rightFromText="180" w:vertAnchor="page" w:horzAnchor="page" w:tblpX="1102" w:tblpY="2714"/>
        <w:tblOverlap w:val="never"/>
        <w:tblW w:w="978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7"/>
        <w:gridCol w:w="6573"/>
        <w:gridCol w:w="1020"/>
        <w:gridCol w:w="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377" w:type="dxa"/>
            <w:vAlign w:val="center"/>
          </w:tcPr>
          <w:p>
            <w:pPr>
              <w:pStyle w:val="7"/>
              <w:ind w:left="0" w:right="0"/>
              <w:rPr>
                <w:b/>
                <w:w w:val="95"/>
                <w:sz w:val="24"/>
                <w:szCs w:val="21"/>
              </w:rPr>
            </w:pPr>
            <w:r>
              <w:rPr>
                <w:b/>
                <w:w w:val="95"/>
                <w:sz w:val="24"/>
                <w:szCs w:val="21"/>
              </w:rPr>
              <w:t>评分项目</w:t>
            </w:r>
          </w:p>
        </w:tc>
        <w:tc>
          <w:tcPr>
            <w:tcW w:w="6573" w:type="dxa"/>
            <w:vAlign w:val="center"/>
          </w:tcPr>
          <w:p>
            <w:pPr>
              <w:pStyle w:val="7"/>
              <w:ind w:left="0" w:right="0"/>
              <w:rPr>
                <w:b/>
                <w:w w:val="95"/>
                <w:sz w:val="24"/>
                <w:szCs w:val="21"/>
              </w:rPr>
            </w:pPr>
            <w:r>
              <w:rPr>
                <w:b/>
                <w:w w:val="95"/>
                <w:sz w:val="24"/>
                <w:szCs w:val="21"/>
              </w:rPr>
              <w:t>评审标准</w:t>
            </w:r>
          </w:p>
        </w:tc>
        <w:tc>
          <w:tcPr>
            <w:tcW w:w="1020" w:type="dxa"/>
            <w:vAlign w:val="center"/>
          </w:tcPr>
          <w:p>
            <w:pPr>
              <w:pStyle w:val="7"/>
              <w:ind w:left="0" w:right="0"/>
              <w:rPr>
                <w:b/>
                <w:w w:val="95"/>
                <w:sz w:val="24"/>
                <w:szCs w:val="21"/>
                <w:lang w:val="en-US"/>
              </w:rPr>
            </w:pPr>
            <w:r>
              <w:rPr>
                <w:rFonts w:hint="eastAsia"/>
                <w:b/>
                <w:w w:val="95"/>
                <w:sz w:val="24"/>
                <w:szCs w:val="21"/>
                <w:lang w:val="en-US"/>
              </w:rPr>
              <w:t>标准分</w:t>
            </w:r>
          </w:p>
        </w:tc>
        <w:tc>
          <w:tcPr>
            <w:tcW w:w="812" w:type="dxa"/>
            <w:vAlign w:val="center"/>
          </w:tcPr>
          <w:p>
            <w:pPr>
              <w:pStyle w:val="7"/>
              <w:ind w:left="0" w:right="0"/>
              <w:rPr>
                <w:b/>
                <w:w w:val="95"/>
                <w:sz w:val="24"/>
                <w:szCs w:val="21"/>
                <w:lang w:val="en-US"/>
              </w:rPr>
            </w:pPr>
            <w:r>
              <w:rPr>
                <w:rFonts w:hint="eastAsia"/>
                <w:b/>
                <w:w w:val="95"/>
                <w:sz w:val="24"/>
                <w:szCs w:val="21"/>
                <w:lang w:val="en-US"/>
              </w:rPr>
              <w:t>评分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1377" w:type="dxa"/>
            <w:vMerge w:val="restart"/>
            <w:vAlign w:val="center"/>
          </w:tcPr>
          <w:p>
            <w:pPr>
              <w:pStyle w:val="7"/>
              <w:ind w:left="0" w:right="0"/>
              <w:rPr>
                <w:rFonts w:hint="eastAsia"/>
                <w:b/>
                <w:sz w:val="22"/>
                <w:szCs w:val="22"/>
                <w:lang w:val="en-US"/>
              </w:rPr>
            </w:pPr>
            <w:r>
              <w:rPr>
                <w:rFonts w:hint="eastAsia"/>
                <w:b/>
                <w:sz w:val="22"/>
                <w:szCs w:val="22"/>
                <w:lang w:val="en-US"/>
              </w:rPr>
              <w:t>课程团队</w:t>
            </w:r>
          </w:p>
        </w:tc>
        <w:tc>
          <w:tcPr>
            <w:tcW w:w="6573" w:type="dxa"/>
            <w:vAlign w:val="center"/>
          </w:tcPr>
          <w:p>
            <w:pPr>
              <w:pStyle w:val="7"/>
              <w:ind w:left="0" w:right="0"/>
              <w:jc w:val="both"/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课程团队设置合理，包含课程负责人、主讲教师等角色人员，分工明确清晰。</w:t>
            </w:r>
          </w:p>
        </w:tc>
        <w:tc>
          <w:tcPr>
            <w:tcW w:w="1020" w:type="dxa"/>
            <w:vMerge w:val="restart"/>
            <w:vAlign w:val="center"/>
          </w:tcPr>
          <w:p>
            <w:pPr>
              <w:pStyle w:val="7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  <w:lang w:val="en-US"/>
              </w:rPr>
              <w:t>0</w:t>
            </w:r>
          </w:p>
          <w:p>
            <w:pPr>
              <w:pStyle w:val="7"/>
              <w:ind w:left="0" w:right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12" w:type="dxa"/>
            <w:vMerge w:val="restart"/>
            <w:vAlign w:val="center"/>
          </w:tcPr>
          <w:p>
            <w:pPr>
              <w:pStyle w:val="7"/>
              <w:ind w:left="0" w:right="0"/>
              <w:rPr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1377" w:type="dxa"/>
            <w:vMerge w:val="continue"/>
            <w:vAlign w:val="center"/>
          </w:tcPr>
          <w:p>
            <w:pPr>
              <w:pStyle w:val="7"/>
              <w:ind w:left="0" w:right="0"/>
              <w:rPr>
                <w:rFonts w:hint="eastAsia"/>
                <w:b/>
                <w:sz w:val="22"/>
                <w:szCs w:val="22"/>
                <w:lang w:val="en-US"/>
              </w:rPr>
            </w:pPr>
          </w:p>
        </w:tc>
        <w:tc>
          <w:tcPr>
            <w:tcW w:w="6573" w:type="dxa"/>
            <w:vAlign w:val="center"/>
          </w:tcPr>
          <w:p>
            <w:pPr>
              <w:pStyle w:val="7"/>
              <w:ind w:left="0" w:right="0"/>
              <w:jc w:val="both"/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具有良好师德，教学能力强，教学经验丰富，教学特色鲜明，教学成果显著。</w:t>
            </w:r>
          </w:p>
        </w:tc>
        <w:tc>
          <w:tcPr>
            <w:tcW w:w="1020" w:type="dxa"/>
            <w:vMerge w:val="continue"/>
            <w:vAlign w:val="center"/>
          </w:tcPr>
          <w:p>
            <w:pPr>
              <w:pStyle w:val="7"/>
              <w:ind w:left="0" w:right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12" w:type="dxa"/>
            <w:vMerge w:val="continue"/>
            <w:vAlign w:val="center"/>
          </w:tcPr>
          <w:p>
            <w:pPr>
              <w:pStyle w:val="7"/>
              <w:ind w:left="0" w:right="0"/>
              <w:rPr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1377" w:type="dxa"/>
            <w:vAlign w:val="center"/>
          </w:tcPr>
          <w:p>
            <w:pPr>
              <w:pStyle w:val="7"/>
              <w:ind w:left="0" w:right="0"/>
              <w:rPr>
                <w:rFonts w:hint="eastAsia"/>
                <w:b/>
                <w:sz w:val="22"/>
                <w:szCs w:val="22"/>
                <w:lang w:val="en-US"/>
              </w:rPr>
            </w:pPr>
            <w:r>
              <w:rPr>
                <w:rFonts w:hint="eastAsia"/>
                <w:b/>
                <w:sz w:val="22"/>
                <w:szCs w:val="22"/>
                <w:lang w:val="en-US"/>
              </w:rPr>
              <w:t>课程建设基础</w:t>
            </w:r>
          </w:p>
        </w:tc>
        <w:tc>
          <w:tcPr>
            <w:tcW w:w="6573" w:type="dxa"/>
            <w:vAlign w:val="center"/>
          </w:tcPr>
          <w:p>
            <w:pPr>
              <w:pStyle w:val="7"/>
              <w:ind w:left="0" w:right="0"/>
              <w:jc w:val="both"/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前期准备工作充分，具备良好的课程建设基础。</w:t>
            </w:r>
          </w:p>
        </w:tc>
        <w:tc>
          <w:tcPr>
            <w:tcW w:w="1020" w:type="dxa"/>
            <w:vAlign w:val="center"/>
          </w:tcPr>
          <w:p>
            <w:pPr>
              <w:pStyle w:val="7"/>
              <w:ind w:left="0" w:right="0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812" w:type="dxa"/>
            <w:vAlign w:val="center"/>
          </w:tcPr>
          <w:p>
            <w:pPr>
              <w:pStyle w:val="7"/>
              <w:ind w:left="0" w:right="0"/>
              <w:rPr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3" w:hRule="atLeast"/>
        </w:trPr>
        <w:tc>
          <w:tcPr>
            <w:tcW w:w="13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right="0"/>
              <w:rPr>
                <w:rFonts w:hint="eastAsia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/>
                <w:sz w:val="22"/>
                <w:szCs w:val="22"/>
                <w:lang w:val="en-US"/>
              </w:rPr>
              <w:t>课程</w:t>
            </w:r>
            <w:r>
              <w:rPr>
                <w:rFonts w:hint="eastAsia"/>
                <w:b/>
                <w:sz w:val="22"/>
                <w:szCs w:val="22"/>
                <w:lang w:val="en-US" w:eastAsia="zh-CN"/>
              </w:rPr>
              <w:t>设置</w:t>
            </w:r>
          </w:p>
        </w:tc>
        <w:tc>
          <w:tcPr>
            <w:tcW w:w="6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right="0"/>
              <w:jc w:val="both"/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以职业能力分析为导向，面向专业相关技术领域职业岗位的任职要求，把职业需要的技能、知识、素质有机地整合到一起，对学生职业能力培养和职业素养的养成起主要支撑或明显促进作用。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right="0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8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right="0"/>
              <w:rPr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37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right="0"/>
              <w:rPr>
                <w:rFonts w:hint="default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/>
                <w:sz w:val="22"/>
                <w:szCs w:val="22"/>
                <w:lang w:val="en-US" w:eastAsia="zh-CN"/>
              </w:rPr>
              <w:t>教学内容</w:t>
            </w:r>
          </w:p>
        </w:tc>
        <w:tc>
          <w:tcPr>
            <w:tcW w:w="6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right="0"/>
              <w:jc w:val="both"/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内容导向正确，弘扬社会主义核心价值观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/>
                <w:sz w:val="21"/>
                <w:szCs w:val="21"/>
                <w:lang w:val="en-US"/>
              </w:rPr>
              <w:t>遵循教育教学规律，体现现代教育思想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/>
                <w:sz w:val="21"/>
                <w:szCs w:val="21"/>
                <w:lang w:val="en-US"/>
              </w:rPr>
              <w:t>反映学科最新发展成果和教改教研成果，具有较强的科学性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；</w:t>
            </w:r>
            <w:r>
              <w:rPr>
                <w:rFonts w:hint="eastAsia"/>
                <w:sz w:val="21"/>
                <w:szCs w:val="21"/>
                <w:lang w:val="en-US"/>
              </w:rPr>
              <w:t>课程内容结构完整，教学单元的设计和知识点、技能点的拆分或配置合理。</w:t>
            </w:r>
          </w:p>
        </w:tc>
        <w:tc>
          <w:tcPr>
            <w:tcW w:w="102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right="0"/>
              <w:jc w:val="center"/>
              <w:rPr>
                <w:rFonts w:hint="default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8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right="0"/>
              <w:jc w:val="both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3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right="0"/>
              <w:rPr>
                <w:rFonts w:hint="eastAsia"/>
                <w:b/>
                <w:sz w:val="22"/>
                <w:szCs w:val="22"/>
                <w:lang w:val="en-US"/>
              </w:rPr>
            </w:pPr>
          </w:p>
        </w:tc>
        <w:tc>
          <w:tcPr>
            <w:tcW w:w="6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right="0"/>
              <w:jc w:val="both"/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构建以职业能力为核心的课程体系，课程内容能反映当前社会先进技术水平和最新岗位职业资格要求，融入课程思政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/>
                <w:sz w:val="21"/>
                <w:szCs w:val="21"/>
                <w:lang w:val="en-US"/>
              </w:rPr>
              <w:t>具有一定的示范推广作用。</w:t>
            </w:r>
          </w:p>
        </w:tc>
        <w:tc>
          <w:tcPr>
            <w:tcW w:w="10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right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right="0"/>
              <w:jc w:val="both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3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right="0"/>
              <w:rPr>
                <w:rFonts w:hint="eastAsia"/>
                <w:b/>
                <w:sz w:val="22"/>
                <w:szCs w:val="22"/>
                <w:lang w:val="en-US"/>
              </w:rPr>
            </w:pPr>
          </w:p>
        </w:tc>
        <w:tc>
          <w:tcPr>
            <w:tcW w:w="6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right="0"/>
              <w:jc w:val="both"/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体现做、学、教一体和专业技能课程理实一体化的教学模式。</w:t>
            </w:r>
          </w:p>
        </w:tc>
        <w:tc>
          <w:tcPr>
            <w:tcW w:w="10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right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right="0"/>
              <w:jc w:val="both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137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right="0"/>
              <w:rPr>
                <w:rFonts w:hint="default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/>
                <w:sz w:val="22"/>
                <w:szCs w:val="22"/>
                <w:lang w:val="en-US" w:eastAsia="zh-CN"/>
              </w:rPr>
              <w:t>教学资源</w:t>
            </w:r>
          </w:p>
        </w:tc>
        <w:tc>
          <w:tcPr>
            <w:tcW w:w="6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right="0"/>
              <w:jc w:val="both"/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引进优质教育资源，将国际通行的职业资格标准融入教学内容，课程受众面广，能够满足大规模课程学习者学习。</w:t>
            </w:r>
          </w:p>
        </w:tc>
        <w:tc>
          <w:tcPr>
            <w:tcW w:w="102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right="0"/>
              <w:jc w:val="center"/>
              <w:rPr>
                <w:rFonts w:hint="default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8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right="0"/>
              <w:jc w:val="both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3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right="0"/>
              <w:rPr>
                <w:rFonts w:hint="eastAsia"/>
                <w:b/>
                <w:sz w:val="22"/>
                <w:szCs w:val="22"/>
                <w:lang w:val="en-US"/>
              </w:rPr>
            </w:pPr>
          </w:p>
        </w:tc>
        <w:tc>
          <w:tcPr>
            <w:tcW w:w="65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right="0"/>
              <w:jc w:val="both"/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结合专业特色或课程特点明确课程目标定位，能推动信息技术与教学的深度融合。</w:t>
            </w:r>
          </w:p>
        </w:tc>
        <w:tc>
          <w:tcPr>
            <w:tcW w:w="10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right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right="0"/>
              <w:rPr>
                <w:rFonts w:hint="default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/>
                <w:sz w:val="22"/>
                <w:szCs w:val="22"/>
                <w:lang w:val="en-US" w:eastAsia="zh-CN"/>
              </w:rPr>
              <w:t>教学方法</w:t>
            </w:r>
          </w:p>
        </w:tc>
        <w:tc>
          <w:tcPr>
            <w:tcW w:w="65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right="0"/>
              <w:jc w:val="both"/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根据课程内容和学生特点，灵活运用案例分析、分组讨论、角色扮演、启发引导等教学方法，引导学生积极思考、乐于实践，提高教学效果。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right="0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right="0"/>
              <w:rPr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right="0"/>
              <w:rPr>
                <w:rFonts w:hint="eastAsia"/>
                <w:b/>
                <w:sz w:val="22"/>
                <w:szCs w:val="22"/>
                <w:lang w:val="zh-CN" w:eastAsia="zh-CN"/>
              </w:rPr>
            </w:pPr>
            <w:r>
              <w:rPr>
                <w:rFonts w:hint="eastAsia"/>
                <w:b/>
                <w:sz w:val="22"/>
                <w:szCs w:val="22"/>
                <w:lang w:val="en-US"/>
              </w:rPr>
              <w:t>课程特色</w:t>
            </w:r>
          </w:p>
        </w:tc>
        <w:tc>
          <w:tcPr>
            <w:tcW w:w="65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right="0"/>
              <w:jc w:val="both"/>
              <w:rPr>
                <w:rFonts w:hint="eastAsia"/>
                <w:sz w:val="21"/>
                <w:szCs w:val="21"/>
                <w:lang w:val="zh-CN" w:eastAsia="zh-CN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 xml:space="preserve">课程建设成果特色鲜明，融入学校文化、行业企业文化，凸显专业特色，对职业能力培养、职业素养形成发挥关键作用。 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right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right="0"/>
              <w:rPr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37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right="0"/>
              <w:rPr>
                <w:rFonts w:hint="eastAsia"/>
                <w:b/>
                <w:sz w:val="22"/>
                <w:szCs w:val="22"/>
                <w:lang w:val="en-US"/>
              </w:rPr>
            </w:pPr>
            <w:r>
              <w:rPr>
                <w:rFonts w:hint="eastAsia"/>
                <w:b/>
                <w:sz w:val="22"/>
                <w:szCs w:val="22"/>
                <w:lang w:val="en-US"/>
              </w:rPr>
              <w:t>建设规划</w:t>
            </w:r>
          </w:p>
        </w:tc>
        <w:tc>
          <w:tcPr>
            <w:tcW w:w="65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right="0"/>
              <w:jc w:val="both"/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项目设计科学合理，切实可行。</w:t>
            </w:r>
          </w:p>
        </w:tc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8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right="0"/>
              <w:rPr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3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right="0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5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right="0"/>
              <w:jc w:val="both"/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项目后期建设目标明确，进度安排合理。</w:t>
            </w:r>
          </w:p>
        </w:tc>
        <w:tc>
          <w:tcPr>
            <w:tcW w:w="10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right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8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right="0"/>
              <w:rPr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9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/>
              </w:rPr>
              <w:t>合计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 w:hRule="atLeast"/>
        </w:trPr>
        <w:tc>
          <w:tcPr>
            <w:tcW w:w="97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/>
              </w:rPr>
              <w:t>专家意见和建议：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97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/>
              </w:rPr>
              <w:t>是否同意推荐：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bCs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 xml:space="preserve"> 同意     </w:t>
            </w:r>
            <w:r>
              <w:rPr>
                <w:rFonts w:hint="eastAsia"/>
                <w:b/>
                <w:bCs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 xml:space="preserve"> 不同意 </w:t>
            </w:r>
          </w:p>
          <w:p>
            <w:pPr>
              <w:ind w:firstLine="5542" w:firstLineChars="2300"/>
              <w:rPr>
                <w:rFonts w:hint="default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/>
              </w:rPr>
              <w:t>评审专家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（签字）</w:t>
            </w:r>
            <w:r>
              <w:rPr>
                <w:rFonts w:hint="eastAsia"/>
                <w:b/>
                <w:bCs/>
                <w:sz w:val="24"/>
                <w:szCs w:val="24"/>
                <w:lang w:val="en-US"/>
              </w:rPr>
              <w:t>：_____________</w:t>
            </w:r>
          </w:p>
        </w:tc>
      </w:tr>
    </w:tbl>
    <w:p>
      <w:pPr>
        <w:jc w:val="left"/>
        <w:rPr>
          <w:rFonts w:asciiTheme="minorEastAsia" w:hAnsiTheme="minorEastAsia" w:eastAsiaTheme="minorEastAsia" w:cstheme="minorEastAsia"/>
          <w:sz w:val="24"/>
          <w:szCs w:val="24"/>
          <w:u w:val="single"/>
          <w:lang w:val="en-US"/>
        </w:rPr>
      </w:pPr>
      <w:r>
        <w:rPr>
          <w:rFonts w:hint="eastAsia"/>
          <w:b/>
          <w:bCs/>
          <w:sz w:val="28"/>
          <w:szCs w:val="28"/>
          <w:lang w:val="en-US"/>
        </w:rPr>
        <w:t xml:space="preserve">   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                                       </w:t>
      </w:r>
    </w:p>
    <w:sectPr>
      <w:pgSz w:w="11906" w:h="16838"/>
      <w:pgMar w:top="1417" w:right="720" w:bottom="1417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0NmU3YzM1MTJiMGU5Y2Q1OTM1ZmMyYWM1M2YyNDUifQ=="/>
    <w:docVar w:name="KSO_WPS_MARK_KEY" w:val="4c2184db-acf2-432b-b6ef-5d0c80bdb581"/>
  </w:docVars>
  <w:rsids>
    <w:rsidRoot w:val="619C7332"/>
    <w:rsid w:val="00012D1E"/>
    <w:rsid w:val="001129CA"/>
    <w:rsid w:val="00285AE2"/>
    <w:rsid w:val="00301D0C"/>
    <w:rsid w:val="00404771"/>
    <w:rsid w:val="00465066"/>
    <w:rsid w:val="004908C2"/>
    <w:rsid w:val="0050634A"/>
    <w:rsid w:val="00561E46"/>
    <w:rsid w:val="005E5FDD"/>
    <w:rsid w:val="00777055"/>
    <w:rsid w:val="007F5979"/>
    <w:rsid w:val="009324B3"/>
    <w:rsid w:val="009574C6"/>
    <w:rsid w:val="00AD2C9F"/>
    <w:rsid w:val="00B42736"/>
    <w:rsid w:val="00BA61DA"/>
    <w:rsid w:val="00C72F91"/>
    <w:rsid w:val="00D01652"/>
    <w:rsid w:val="00DB760F"/>
    <w:rsid w:val="00F513D5"/>
    <w:rsid w:val="00F9396D"/>
    <w:rsid w:val="00FA69C7"/>
    <w:rsid w:val="07DE45D4"/>
    <w:rsid w:val="07E0028B"/>
    <w:rsid w:val="094E1063"/>
    <w:rsid w:val="0FD92749"/>
    <w:rsid w:val="14211B10"/>
    <w:rsid w:val="16FA32FF"/>
    <w:rsid w:val="24B50DD2"/>
    <w:rsid w:val="29C37454"/>
    <w:rsid w:val="2B120C09"/>
    <w:rsid w:val="2C626772"/>
    <w:rsid w:val="31753E0C"/>
    <w:rsid w:val="32FA7647"/>
    <w:rsid w:val="35366A4B"/>
    <w:rsid w:val="35FE7EBD"/>
    <w:rsid w:val="394176E3"/>
    <w:rsid w:val="44257244"/>
    <w:rsid w:val="445D0EBE"/>
    <w:rsid w:val="44AA50E6"/>
    <w:rsid w:val="4D927236"/>
    <w:rsid w:val="51F21E91"/>
    <w:rsid w:val="584B2260"/>
    <w:rsid w:val="59E62A83"/>
    <w:rsid w:val="5A5A6A1F"/>
    <w:rsid w:val="619C7332"/>
    <w:rsid w:val="68641B42"/>
    <w:rsid w:val="70786CA8"/>
    <w:rsid w:val="7DD117E2"/>
    <w:rsid w:val="7EAC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楷体" w:hAnsi="楷体" w:eastAsia="楷体" w:cs="楷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nhideWhenUsed/>
    <w:qFormat/>
    <w:uiPriority w:val="99"/>
    <w:pPr>
      <w:spacing w:before="120"/>
    </w:pPr>
    <w:rPr>
      <w:rFonts w:ascii="Arial" w:hAnsi="Arial"/>
      <w:sz w:val="24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Table Paragraph"/>
    <w:basedOn w:val="1"/>
    <w:qFormat/>
    <w:uiPriority w:val="1"/>
    <w:pPr>
      <w:ind w:left="29" w:right="21"/>
      <w:jc w:val="center"/>
    </w:pPr>
  </w:style>
  <w:style w:type="character" w:customStyle="1" w:styleId="8">
    <w:name w:val="页眉 字符"/>
    <w:basedOn w:val="6"/>
    <w:link w:val="4"/>
    <w:qFormat/>
    <w:uiPriority w:val="0"/>
    <w:rPr>
      <w:rFonts w:ascii="楷体" w:hAnsi="楷体" w:eastAsia="楷体" w:cs="楷体"/>
      <w:sz w:val="18"/>
      <w:szCs w:val="18"/>
      <w:lang w:val="zh-CN" w:bidi="zh-CN"/>
    </w:rPr>
  </w:style>
  <w:style w:type="character" w:customStyle="1" w:styleId="9">
    <w:name w:val="页脚 字符"/>
    <w:basedOn w:val="6"/>
    <w:link w:val="3"/>
    <w:qFormat/>
    <w:uiPriority w:val="0"/>
    <w:rPr>
      <w:rFonts w:ascii="楷体" w:hAnsi="楷体" w:eastAsia="楷体" w:cs="楷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558</Words>
  <Characters>600</Characters>
  <Lines>4</Lines>
  <Paragraphs>1</Paragraphs>
  <TotalTime>2</TotalTime>
  <ScaleCrop>false</ScaleCrop>
  <LinksUpToDate>false</LinksUpToDate>
  <CharactersWithSpaces>680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2019-11-04T02:38:00Z</dcterms:created>
  <dc:creator>Tiny</dc:creator>
  <cp:lastModifiedBy>Administrator</cp:lastModifiedBy>
  <cp:lastPrinted>2019-11-07T01:37:00Z</cp:lastPrinted>
  <dcterms:modified xsi:type="dcterms:W3CDTF">2023-03-13T09:37:26Z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BC50588A9D174916A7DCF5E2E68DC7BE</vt:lpwstr>
  </property>
</Properties>
</file>