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line="23" w:lineRule="atLeast"/>
        <w:ind w:left="0" w:leftChars="0" w:right="0" w:firstLine="0" w:firstLineChars="0"/>
        <w:jc w:val="both"/>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附件</w:t>
      </w:r>
    </w:p>
    <w:p>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line="23" w:lineRule="atLeast"/>
        <w:ind w:left="0" w:right="0" w:firstLine="420"/>
        <w:jc w:val="center"/>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2021年云南省基础研究计划项目申报指南</w:t>
      </w:r>
      <w:r>
        <w:rPr>
          <w:rFonts w:ascii="Calibri" w:hAnsi="Calibri" w:eastAsia="宋体" w:cs="Calibri"/>
          <w:i w:val="0"/>
          <w:caps w:val="0"/>
          <w:color w:val="4E4E4E"/>
          <w:spacing w:val="0"/>
          <w:sz w:val="24"/>
          <w:szCs w:val="24"/>
          <w:bdr w:val="none" w:color="auto" w:sz="0" w:space="0"/>
          <w:shd w:val="clear" w:fill="FFFFFF"/>
        </w:rPr>
        <w:t> </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一、重点项目</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支持已有较好基础的科研人员，围绕重点产业技术进步和转型升级，打造世界一流“三张牌”，加快发展八大重点产业，建设“数字云南”，开展深入、系统的创新性研究，重点解决具有较强应用背景的科学问题。加强与重大科技专项计划、重点研发计划、科技人才平台计划等项目的衔接，推动领域或科学前沿取得突破。</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资助额度为50万元/项，项目实施期限为3年。</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（一）选题范围</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1. </w:t>
      </w:r>
      <w:bookmarkStart w:id="0" w:name="_GoBack"/>
      <w:bookmarkEnd w:id="0"/>
      <w:r>
        <w:rPr>
          <w:rFonts w:hint="eastAsia" w:ascii="宋体" w:hAnsi="宋体" w:eastAsia="宋体" w:cs="宋体"/>
          <w:i w:val="0"/>
          <w:caps w:val="0"/>
          <w:color w:val="4E4E4E"/>
          <w:spacing w:val="0"/>
          <w:sz w:val="28"/>
          <w:szCs w:val="28"/>
          <w:bdr w:val="none" w:color="auto" w:sz="0" w:space="0"/>
          <w:shd w:val="clear" w:fill="FFFFFF"/>
        </w:rPr>
        <w:t>生物多样性保护领域</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主要研究方向：</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（1）云南特色生物资源的精准评价与保护（申请代码选择C01、C02、C03、C04、C06、C13、C14、C15、C16或C17的下属代码）；</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（2）云南重要生物资源关键性状的基因发掘与利用（申请代码选择C01、C05、C06、C07、C13、C15、C16、C17或C19的下属代码）；</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（3）云南特色动植物及菌类绿色生产中的种（养）及营养调控（申请代码选择C06、C11、C13、C15、C17、C18或C19的下属代码）；</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（4）农业有害生物的成灾机理及绿色防控理论与策略（申请代码选择C01、C02、C04、C13、C14、C16、C18或C19的下属代码）；</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（5）云南特色农产品加工过程中的品质调控与安全控制机制（申请代码选择C20的下属代码）。</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2. 生物医药领域</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主要研究方向：</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（1）立足云南特色资源，开展动植物及微生物的资源评价、活性物质发现、结构功能、作用机制、生物合成与合成生物学研究（申请代码选择B01、B07、C01、C02、C04、C21、H28、H30或H31的下属代码）；</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（2）云南中医药、民族医药、化学药、天然药、生物药、疫苗、干细胞、重要疾病动物模型的基础和应用基础研究（申请代码选择C04、C12、C21、H27、H28、H30或H31的下属代码）；</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（3）人类重要传染病的病原学、流行病学、发病机制、生物安全、疾病诊断与防治、感染后康复等的基础和应用基础研究（申请代码选择C21、H01、H19、H20或H26的下属代码）；</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（4）重要非传染性疾病和云南高发性、地方性疾病发病机制、诊断与防治的基础和应用基础研究（申请代码选择H01、H02、H07、H08、H09、H10、H16、H18、H20或H24的下属代码）。</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3. 矿产资源综合利用与新材料领域</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主要研究方向：</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（1）云南特色矿产资源高效采选技术基础研究（申请代码选择D02或E04的下属代码）；</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（2）有色金属的清洁生产与提纯研究（申请代码选择E04的下属代码）；</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（3）稀贵金属资源高效综合利用（申请代码选择E04的下属代码）；</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（4）云南特色金属产品深加工技术基础研究（申请代码选择E01的下属代码）；</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（5）云南优势新型功能材料设计、制备与控制 （申请代码选择E01或E02的下属代码）；</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（6）先进复合材料的计算、制备与表征（申请代码选择E01的下属代码）。</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（7）绿色铝材产业发展关键技术及应用的基础研究（申请代码选择E01、E02、E04、E05、E06、E10或F03的下属代码）；</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（8）绿色硅材产业发展关键技术及应用的基础研究（申请代码选择B01、E01、E02、E04、E05、E06、E10、F03或F04的下属代码）；</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（9）新能源汽车关键材料及部件的设计与制造（申请代码选择B01、B05、B08、E01、E02、E04、E05、E06、E07、F03或F04的下属代码）；</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（10）清洁能源的安全开发、高效利用（申请代码选择B05、B08、E04、E06、E10或D07的下属代码）。</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4. 信息领域</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主要研究方向：</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（1）面向资源与业务协同服务的区块链基础理论及关键技术（申请代码选择F02的下属代码）；</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（2）面向云南重点特色领域的人工智能理论、方法及关键技术（申请代码选择F06的下属代码）；</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（3）云南重点领域工业过程智能控制与工业互联网关键技术（申请代码选择F03的下属代码）；</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（4）云南高原特色农业的智能感知和决策分析关键技术（申请代码选择F02或F03的下属代码）；</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（5）面向云南智慧医疗的大数据分析和信息服务关键技术（申请代码选择F02的下属代码）。</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5. 资源与环境领域</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主要研究方向：</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（1）云南生态环境演变及其对全球变化的响应与适应（申请代码选择C02、C03、D01、D02、D03、D05或D07的下属代码）；</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（2）云南高原湖泊及湿地保护、治理的基础和应用基础研究（申请代码选择C03、D01或D07的下属代码）；</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（3）云南土壤及重金属污染治理、修复的基础和应用基础研究（申请代码选择C03、D01或D07的下属代码）；</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（4）云南退化环境的生态修复与治理的基础和应用基础研究（申请代码选择C03、D01、D02或D07的下属代码）；</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（5）云南农业环境保护与农村生态建设的应用基础研究（申请代码选择C03、D01或D07的下属代码）；</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（6）云南生物多样性保育与生物安全维护的基础和应用基础研究（申请代码选择C01、C02、C03、C04、C14或C16的下属代码）。</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6. 基础科学领域</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重点支持数学、物理、化学、天文、地理、生物学等基础科学领域的基础与应用基础研究。</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（二）申报要求</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1. 申请人条件</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（1）申报单位全职科研人员；</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（2）申请当年1月1日未满55周岁（1965年1月1日及以后出生）；</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（3）具有良好的科学道德；</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（4）具有高级专业技术职务（职称）；</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（5）具有主持基础研究项目的经历；</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（6）主持过2项及以上重点项目的，不得作为项目负责人申请；</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（7）符合年度项目申报指南中的相关规定。</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2. 申报方式</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1）单位限额申报。以2019年各单位获国家自然科学基金项目数为依据，按《2021年重点项目申报项目数分配表》要求组织推荐申报。省重点实验室和省工程技术研究中心申报指标的项目申请人，应为省重点实验室和省工程技术研究中心的固定人员，依托单位不可统筹使用该指标。</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center"/>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2021年重点项目申报项目数分配表</w:t>
      </w:r>
    </w:p>
    <w:tbl>
      <w:tblPr>
        <w:tblW w:w="0" w:type="auto"/>
        <w:jc w:val="center"/>
        <w:tblBorders>
          <w:top w:val="single" w:color="auto" w:sz="8" w:space="0"/>
          <w:left w:val="single" w:color="auto" w:sz="8" w:space="0"/>
          <w:bottom w:val="single" w:color="auto" w:sz="8" w:space="0"/>
          <w:right w:val="single" w:color="auto" w:sz="8"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881"/>
        <w:gridCol w:w="5156"/>
        <w:gridCol w:w="2285"/>
      </w:tblGrid>
      <w:tr>
        <w:tblPrEx>
          <w:tblBorders>
            <w:top w:val="single" w:color="auto" w:sz="8" w:space="0"/>
            <w:left w:val="single" w:color="auto" w:sz="8" w:space="0"/>
            <w:bottom w:val="single" w:color="auto" w:sz="8" w:space="0"/>
            <w:right w:val="single" w:color="auto" w:sz="8" w:space="0"/>
            <w:insideH w:val="outset" w:color="auto" w:sz="6" w:space="0"/>
            <w:insideV w:val="outset" w:color="auto" w:sz="6" w:space="0"/>
          </w:tblBorders>
          <w:shd w:val="clear" w:color="auto" w:fill="FFFFFF"/>
          <w:tblCellMar>
            <w:top w:w="0" w:type="dxa"/>
            <w:left w:w="0" w:type="dxa"/>
            <w:bottom w:w="0" w:type="dxa"/>
            <w:right w:w="0" w:type="dxa"/>
          </w:tblCellMar>
        </w:tblPrEx>
        <w:trPr>
          <w:trHeight w:val="683" w:hRule="atLeast"/>
          <w:jc w:val="center"/>
        </w:trPr>
        <w:tc>
          <w:tcPr>
            <w:tcW w:w="887"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eastAsia" w:ascii="宋体" w:hAnsi="宋体" w:eastAsia="宋体" w:cs="宋体"/>
                <w:i w:val="0"/>
                <w:caps w:val="0"/>
                <w:color w:val="4E4E4E"/>
                <w:spacing w:val="0"/>
                <w:sz w:val="21"/>
                <w:szCs w:val="21"/>
                <w:bdr w:val="none" w:color="auto" w:sz="0" w:space="0"/>
              </w:rPr>
              <w:t>序号</w:t>
            </w:r>
          </w:p>
        </w:tc>
        <w:tc>
          <w:tcPr>
            <w:tcW w:w="5294"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eastAsia" w:ascii="宋体" w:hAnsi="宋体" w:eastAsia="宋体" w:cs="宋体"/>
                <w:i w:val="0"/>
                <w:caps w:val="0"/>
                <w:color w:val="4E4E4E"/>
                <w:spacing w:val="0"/>
                <w:sz w:val="21"/>
                <w:szCs w:val="21"/>
                <w:bdr w:val="none" w:color="auto" w:sz="0" w:space="0"/>
              </w:rPr>
              <w:t>2019年获国家基金项目数（项）</w:t>
            </w:r>
          </w:p>
        </w:tc>
        <w:tc>
          <w:tcPr>
            <w:tcW w:w="2341"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eastAsia" w:ascii="宋体" w:hAnsi="宋体" w:eastAsia="宋体" w:cs="宋体"/>
                <w:i w:val="0"/>
                <w:caps w:val="0"/>
                <w:color w:val="4E4E4E"/>
                <w:spacing w:val="0"/>
                <w:sz w:val="21"/>
                <w:szCs w:val="21"/>
                <w:bdr w:val="none" w:color="auto" w:sz="0" w:space="0"/>
              </w:rPr>
              <w:t>每家单位推荐申报数（项）</w:t>
            </w:r>
          </w:p>
        </w:tc>
      </w:tr>
      <w:tr>
        <w:tblPrEx>
          <w:tblBorders>
            <w:top w:val="single" w:color="auto" w:sz="8" w:space="0"/>
            <w:left w:val="single" w:color="auto" w:sz="8" w:space="0"/>
            <w:bottom w:val="single" w:color="auto" w:sz="8" w:space="0"/>
            <w:right w:val="single" w:color="auto" w:sz="8" w:space="0"/>
            <w:insideH w:val="outset" w:color="auto" w:sz="6" w:space="0"/>
            <w:insideV w:val="outset" w:color="auto" w:sz="6" w:space="0"/>
          </w:tblBorders>
          <w:tblCellMar>
            <w:top w:w="0" w:type="dxa"/>
            <w:left w:w="0" w:type="dxa"/>
            <w:bottom w:w="0" w:type="dxa"/>
            <w:right w:w="0" w:type="dxa"/>
          </w:tblCellMar>
        </w:tblPrEx>
        <w:trPr>
          <w:trHeight w:val="126" w:hRule="atLeast"/>
          <w:jc w:val="center"/>
        </w:trPr>
        <w:tc>
          <w:tcPr>
            <w:tcW w:w="887" w:type="dxa"/>
            <w:tcBorders>
              <w:top w:val="outset" w:color="auto" w:sz="6" w:space="0"/>
              <w:left w:val="outset" w:color="auto" w:sz="6" w:space="0"/>
              <w:bottom w:val="outset" w:color="auto" w:sz="6" w:space="0"/>
              <w:right w:val="outset" w:color="auto" w:sz="6" w:space="0"/>
            </w:tcBorders>
            <w:shd w:val="clear" w:color="auto" w:fill="FFFFFF"/>
            <w:vAlign w:val="top"/>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eastAsia" w:ascii="宋体" w:hAnsi="宋体" w:eastAsia="宋体" w:cs="宋体"/>
                <w:i w:val="0"/>
                <w:caps w:val="0"/>
                <w:color w:val="4E4E4E"/>
                <w:spacing w:val="0"/>
                <w:sz w:val="21"/>
                <w:szCs w:val="21"/>
                <w:bdr w:val="none" w:color="auto" w:sz="0" w:space="0"/>
              </w:rPr>
              <w:t>1</w:t>
            </w:r>
          </w:p>
        </w:tc>
        <w:tc>
          <w:tcPr>
            <w:tcW w:w="5294"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eastAsia" w:ascii="宋体" w:hAnsi="宋体" w:eastAsia="宋体" w:cs="宋体"/>
                <w:i w:val="0"/>
                <w:caps w:val="0"/>
                <w:color w:val="4E4E4E"/>
                <w:spacing w:val="0"/>
                <w:sz w:val="21"/>
                <w:szCs w:val="21"/>
                <w:bdr w:val="none" w:color="auto" w:sz="0" w:space="0"/>
              </w:rPr>
              <w:t>100以上</w:t>
            </w:r>
          </w:p>
        </w:tc>
        <w:tc>
          <w:tcPr>
            <w:tcW w:w="2341"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eastAsia" w:ascii="宋体" w:hAnsi="宋体" w:eastAsia="宋体" w:cs="宋体"/>
                <w:i w:val="0"/>
                <w:caps w:val="0"/>
                <w:color w:val="4E4E4E"/>
                <w:spacing w:val="0"/>
                <w:sz w:val="21"/>
                <w:szCs w:val="21"/>
                <w:bdr w:val="none" w:color="auto" w:sz="0" w:space="0"/>
              </w:rPr>
              <w:t>10</w:t>
            </w:r>
          </w:p>
        </w:tc>
      </w:tr>
      <w:tr>
        <w:tblPrEx>
          <w:tblBorders>
            <w:top w:val="single" w:color="auto" w:sz="8" w:space="0"/>
            <w:left w:val="single" w:color="auto" w:sz="8" w:space="0"/>
            <w:bottom w:val="single" w:color="auto" w:sz="8" w:space="0"/>
            <w:right w:val="single" w:color="auto" w:sz="8" w:space="0"/>
            <w:insideH w:val="outset" w:color="auto" w:sz="6" w:space="0"/>
            <w:insideV w:val="outset" w:color="auto" w:sz="6" w:space="0"/>
          </w:tblBorders>
          <w:tblCellMar>
            <w:top w:w="0" w:type="dxa"/>
            <w:left w:w="0" w:type="dxa"/>
            <w:bottom w:w="0" w:type="dxa"/>
            <w:right w:w="0" w:type="dxa"/>
          </w:tblCellMar>
        </w:tblPrEx>
        <w:trPr>
          <w:trHeight w:val="126" w:hRule="atLeast"/>
          <w:jc w:val="center"/>
        </w:trPr>
        <w:tc>
          <w:tcPr>
            <w:tcW w:w="887" w:type="dxa"/>
            <w:tcBorders>
              <w:top w:val="outset" w:color="auto" w:sz="6" w:space="0"/>
              <w:left w:val="outset" w:color="auto" w:sz="6" w:space="0"/>
              <w:bottom w:val="outset" w:color="auto" w:sz="6" w:space="0"/>
              <w:right w:val="outset" w:color="auto" w:sz="6" w:space="0"/>
            </w:tcBorders>
            <w:shd w:val="clear" w:color="auto" w:fill="FFFFFF"/>
            <w:vAlign w:val="top"/>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eastAsia" w:ascii="宋体" w:hAnsi="宋体" w:eastAsia="宋体" w:cs="宋体"/>
                <w:i w:val="0"/>
                <w:caps w:val="0"/>
                <w:color w:val="4E4E4E"/>
                <w:spacing w:val="0"/>
                <w:sz w:val="21"/>
                <w:szCs w:val="21"/>
                <w:bdr w:val="none" w:color="auto" w:sz="0" w:space="0"/>
              </w:rPr>
              <w:t>2</w:t>
            </w:r>
          </w:p>
        </w:tc>
        <w:tc>
          <w:tcPr>
            <w:tcW w:w="5294"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eastAsia" w:ascii="宋体" w:hAnsi="宋体" w:eastAsia="宋体" w:cs="宋体"/>
                <w:i w:val="0"/>
                <w:caps w:val="0"/>
                <w:color w:val="4E4E4E"/>
                <w:spacing w:val="0"/>
                <w:sz w:val="21"/>
                <w:szCs w:val="21"/>
                <w:bdr w:val="none" w:color="auto" w:sz="0" w:space="0"/>
              </w:rPr>
              <w:t>81—100</w:t>
            </w:r>
          </w:p>
        </w:tc>
        <w:tc>
          <w:tcPr>
            <w:tcW w:w="2341"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eastAsia" w:ascii="宋体" w:hAnsi="宋体" w:eastAsia="宋体" w:cs="宋体"/>
                <w:i w:val="0"/>
                <w:caps w:val="0"/>
                <w:color w:val="4E4E4E"/>
                <w:spacing w:val="0"/>
                <w:sz w:val="21"/>
                <w:szCs w:val="21"/>
                <w:bdr w:val="none" w:color="auto" w:sz="0" w:space="0"/>
              </w:rPr>
              <w:t>8</w:t>
            </w:r>
          </w:p>
        </w:tc>
      </w:tr>
      <w:tr>
        <w:tblPrEx>
          <w:tblBorders>
            <w:top w:val="single" w:color="auto" w:sz="8" w:space="0"/>
            <w:left w:val="single" w:color="auto" w:sz="8" w:space="0"/>
            <w:bottom w:val="single" w:color="auto" w:sz="8" w:space="0"/>
            <w:right w:val="single" w:color="auto" w:sz="8" w:space="0"/>
            <w:insideH w:val="outset" w:color="auto" w:sz="6" w:space="0"/>
            <w:insideV w:val="outset" w:color="auto" w:sz="6" w:space="0"/>
          </w:tblBorders>
          <w:tblCellMar>
            <w:top w:w="0" w:type="dxa"/>
            <w:left w:w="0" w:type="dxa"/>
            <w:bottom w:w="0" w:type="dxa"/>
            <w:right w:w="0" w:type="dxa"/>
          </w:tblCellMar>
        </w:tblPrEx>
        <w:trPr>
          <w:trHeight w:val="374" w:hRule="atLeast"/>
          <w:jc w:val="center"/>
        </w:trPr>
        <w:tc>
          <w:tcPr>
            <w:tcW w:w="887" w:type="dxa"/>
            <w:tcBorders>
              <w:top w:val="outset" w:color="auto" w:sz="6" w:space="0"/>
              <w:left w:val="outset" w:color="auto" w:sz="6" w:space="0"/>
              <w:bottom w:val="outset" w:color="auto" w:sz="6" w:space="0"/>
              <w:right w:val="outset" w:color="auto" w:sz="6" w:space="0"/>
            </w:tcBorders>
            <w:shd w:val="clear" w:color="auto" w:fill="FFFFFF"/>
            <w:vAlign w:val="top"/>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eastAsia" w:ascii="宋体" w:hAnsi="宋体" w:eastAsia="宋体" w:cs="宋体"/>
                <w:i w:val="0"/>
                <w:caps w:val="0"/>
                <w:color w:val="4E4E4E"/>
                <w:spacing w:val="0"/>
                <w:sz w:val="21"/>
                <w:szCs w:val="21"/>
                <w:bdr w:val="none" w:color="auto" w:sz="0" w:space="0"/>
              </w:rPr>
              <w:t>3</w:t>
            </w:r>
          </w:p>
        </w:tc>
        <w:tc>
          <w:tcPr>
            <w:tcW w:w="5294"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eastAsia" w:ascii="宋体" w:hAnsi="宋体" w:eastAsia="宋体" w:cs="宋体"/>
                <w:i w:val="0"/>
                <w:caps w:val="0"/>
                <w:color w:val="4E4E4E"/>
                <w:spacing w:val="0"/>
                <w:sz w:val="21"/>
                <w:szCs w:val="21"/>
                <w:bdr w:val="none" w:color="auto" w:sz="0" w:space="0"/>
              </w:rPr>
              <w:t>41—80</w:t>
            </w:r>
          </w:p>
        </w:tc>
        <w:tc>
          <w:tcPr>
            <w:tcW w:w="2341"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eastAsia" w:ascii="宋体" w:hAnsi="宋体" w:eastAsia="宋体" w:cs="宋体"/>
                <w:i w:val="0"/>
                <w:caps w:val="0"/>
                <w:color w:val="4E4E4E"/>
                <w:spacing w:val="0"/>
                <w:sz w:val="21"/>
                <w:szCs w:val="21"/>
                <w:bdr w:val="none" w:color="auto" w:sz="0" w:space="0"/>
              </w:rPr>
              <w:t>5</w:t>
            </w:r>
          </w:p>
        </w:tc>
      </w:tr>
      <w:tr>
        <w:tblPrEx>
          <w:tblBorders>
            <w:top w:val="single" w:color="auto" w:sz="8" w:space="0"/>
            <w:left w:val="single" w:color="auto" w:sz="8" w:space="0"/>
            <w:bottom w:val="single" w:color="auto" w:sz="8" w:space="0"/>
            <w:right w:val="single" w:color="auto" w:sz="8" w:space="0"/>
            <w:insideH w:val="outset" w:color="auto" w:sz="6" w:space="0"/>
            <w:insideV w:val="outset" w:color="auto" w:sz="6" w:space="0"/>
          </w:tblBorders>
          <w:tblCellMar>
            <w:top w:w="0" w:type="dxa"/>
            <w:left w:w="0" w:type="dxa"/>
            <w:bottom w:w="0" w:type="dxa"/>
            <w:right w:w="0" w:type="dxa"/>
          </w:tblCellMar>
        </w:tblPrEx>
        <w:trPr>
          <w:trHeight w:val="354" w:hRule="atLeast"/>
          <w:jc w:val="center"/>
        </w:trPr>
        <w:tc>
          <w:tcPr>
            <w:tcW w:w="887" w:type="dxa"/>
            <w:tcBorders>
              <w:top w:val="outset" w:color="auto" w:sz="6" w:space="0"/>
              <w:left w:val="outset" w:color="auto" w:sz="6" w:space="0"/>
              <w:bottom w:val="outset" w:color="auto" w:sz="6" w:space="0"/>
              <w:right w:val="outset" w:color="auto" w:sz="6" w:space="0"/>
            </w:tcBorders>
            <w:shd w:val="clear" w:color="auto" w:fill="FFFFFF"/>
            <w:vAlign w:val="top"/>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eastAsia" w:ascii="宋体" w:hAnsi="宋体" w:eastAsia="宋体" w:cs="宋体"/>
                <w:i w:val="0"/>
                <w:caps w:val="0"/>
                <w:color w:val="4E4E4E"/>
                <w:spacing w:val="0"/>
                <w:sz w:val="21"/>
                <w:szCs w:val="21"/>
                <w:bdr w:val="none" w:color="auto" w:sz="0" w:space="0"/>
              </w:rPr>
              <w:t>4</w:t>
            </w:r>
          </w:p>
        </w:tc>
        <w:tc>
          <w:tcPr>
            <w:tcW w:w="5294" w:type="dxa"/>
            <w:tcBorders>
              <w:top w:val="outset" w:color="auto" w:sz="6" w:space="0"/>
              <w:left w:val="outset" w:color="auto" w:sz="6" w:space="0"/>
              <w:bottom w:val="outset" w:color="auto" w:sz="6" w:space="0"/>
              <w:right w:val="outset" w:color="auto" w:sz="6" w:space="0"/>
            </w:tcBorders>
            <w:shd w:val="clear" w:color="auto" w:fill="FFFFFF"/>
            <w:vAlign w:val="top"/>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eastAsia" w:ascii="宋体" w:hAnsi="宋体" w:eastAsia="宋体" w:cs="宋体"/>
                <w:i w:val="0"/>
                <w:caps w:val="0"/>
                <w:color w:val="4E4E4E"/>
                <w:spacing w:val="0"/>
                <w:sz w:val="21"/>
                <w:szCs w:val="21"/>
                <w:bdr w:val="none" w:color="auto" w:sz="0" w:space="0"/>
              </w:rPr>
              <w:t>11—40</w:t>
            </w:r>
          </w:p>
        </w:tc>
        <w:tc>
          <w:tcPr>
            <w:tcW w:w="2341" w:type="dxa"/>
            <w:tcBorders>
              <w:top w:val="outset" w:color="auto" w:sz="6" w:space="0"/>
              <w:left w:val="outset" w:color="auto" w:sz="6" w:space="0"/>
              <w:bottom w:val="outset" w:color="auto" w:sz="6" w:space="0"/>
              <w:right w:val="outset" w:color="auto" w:sz="6" w:space="0"/>
            </w:tcBorders>
            <w:shd w:val="clear" w:color="auto" w:fill="FFFFFF"/>
            <w:vAlign w:val="top"/>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eastAsia" w:ascii="宋体" w:hAnsi="宋体" w:eastAsia="宋体" w:cs="宋体"/>
                <w:i w:val="0"/>
                <w:caps w:val="0"/>
                <w:color w:val="4E4E4E"/>
                <w:spacing w:val="0"/>
                <w:sz w:val="21"/>
                <w:szCs w:val="21"/>
                <w:bdr w:val="none" w:color="auto" w:sz="0" w:space="0"/>
              </w:rPr>
              <w:t>3</w:t>
            </w:r>
          </w:p>
        </w:tc>
      </w:tr>
      <w:tr>
        <w:tblPrEx>
          <w:tblBorders>
            <w:top w:val="single" w:color="auto" w:sz="8" w:space="0"/>
            <w:left w:val="single" w:color="auto" w:sz="8" w:space="0"/>
            <w:bottom w:val="single" w:color="auto" w:sz="8" w:space="0"/>
            <w:right w:val="single" w:color="auto" w:sz="8" w:space="0"/>
            <w:insideH w:val="outset" w:color="auto" w:sz="6" w:space="0"/>
            <w:insideV w:val="outset" w:color="auto" w:sz="6" w:space="0"/>
          </w:tblBorders>
          <w:tblCellMar>
            <w:top w:w="0" w:type="dxa"/>
            <w:left w:w="0" w:type="dxa"/>
            <w:bottom w:w="0" w:type="dxa"/>
            <w:right w:w="0" w:type="dxa"/>
          </w:tblCellMar>
        </w:tblPrEx>
        <w:trPr>
          <w:trHeight w:val="516" w:hRule="atLeast"/>
          <w:jc w:val="center"/>
        </w:trPr>
        <w:tc>
          <w:tcPr>
            <w:tcW w:w="887" w:type="dxa"/>
            <w:tcBorders>
              <w:top w:val="outset" w:color="auto" w:sz="6" w:space="0"/>
              <w:left w:val="outset" w:color="auto" w:sz="6" w:space="0"/>
              <w:bottom w:val="outset" w:color="auto" w:sz="6" w:space="0"/>
              <w:right w:val="outset" w:color="auto" w:sz="6" w:space="0"/>
            </w:tcBorders>
            <w:shd w:val="clear" w:color="auto" w:fill="FFFFFF"/>
            <w:vAlign w:val="top"/>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eastAsia" w:ascii="宋体" w:hAnsi="宋体" w:eastAsia="宋体" w:cs="宋体"/>
                <w:i w:val="0"/>
                <w:caps w:val="0"/>
                <w:color w:val="4E4E4E"/>
                <w:spacing w:val="0"/>
                <w:sz w:val="21"/>
                <w:szCs w:val="21"/>
                <w:bdr w:val="none" w:color="auto" w:sz="0" w:space="0"/>
              </w:rPr>
              <w:t>5</w:t>
            </w:r>
          </w:p>
        </w:tc>
        <w:tc>
          <w:tcPr>
            <w:tcW w:w="5294" w:type="dxa"/>
            <w:tcBorders>
              <w:top w:val="outset" w:color="auto" w:sz="6" w:space="0"/>
              <w:left w:val="outset" w:color="auto" w:sz="6" w:space="0"/>
              <w:bottom w:val="outset" w:color="auto" w:sz="6" w:space="0"/>
              <w:right w:val="outset" w:color="auto" w:sz="6" w:space="0"/>
            </w:tcBorders>
            <w:shd w:val="clear" w:color="auto" w:fill="FFFFFF"/>
            <w:vAlign w:val="top"/>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eastAsia" w:ascii="宋体" w:hAnsi="宋体" w:eastAsia="宋体" w:cs="宋体"/>
                <w:i w:val="0"/>
                <w:caps w:val="0"/>
                <w:color w:val="4E4E4E"/>
                <w:spacing w:val="0"/>
                <w:sz w:val="21"/>
                <w:szCs w:val="21"/>
                <w:bdr w:val="none" w:color="auto" w:sz="0" w:space="0"/>
              </w:rPr>
              <w:t>1—10</w:t>
            </w:r>
          </w:p>
        </w:tc>
        <w:tc>
          <w:tcPr>
            <w:tcW w:w="2341" w:type="dxa"/>
            <w:tcBorders>
              <w:top w:val="outset" w:color="auto" w:sz="6" w:space="0"/>
              <w:left w:val="outset" w:color="auto" w:sz="6" w:space="0"/>
              <w:bottom w:val="outset" w:color="auto" w:sz="6" w:space="0"/>
              <w:right w:val="outset" w:color="auto" w:sz="6" w:space="0"/>
            </w:tcBorders>
            <w:shd w:val="clear" w:color="auto" w:fill="FFFFFF"/>
            <w:vAlign w:val="top"/>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eastAsia" w:ascii="宋体" w:hAnsi="宋体" w:eastAsia="宋体" w:cs="宋体"/>
                <w:i w:val="0"/>
                <w:caps w:val="0"/>
                <w:color w:val="4E4E4E"/>
                <w:spacing w:val="0"/>
                <w:sz w:val="21"/>
                <w:szCs w:val="21"/>
                <w:bdr w:val="none" w:color="auto" w:sz="0" w:space="0"/>
              </w:rPr>
              <w:t>1</w:t>
            </w:r>
          </w:p>
        </w:tc>
      </w:tr>
      <w:tr>
        <w:tblPrEx>
          <w:tblBorders>
            <w:top w:val="single" w:color="auto" w:sz="8" w:space="0"/>
            <w:left w:val="single" w:color="auto" w:sz="8" w:space="0"/>
            <w:bottom w:val="single" w:color="auto" w:sz="8" w:space="0"/>
            <w:right w:val="single" w:color="auto" w:sz="8" w:space="0"/>
            <w:insideH w:val="outset" w:color="auto" w:sz="6" w:space="0"/>
            <w:insideV w:val="outset" w:color="auto" w:sz="6" w:space="0"/>
          </w:tblBorders>
          <w:tblCellMar>
            <w:top w:w="0" w:type="dxa"/>
            <w:left w:w="0" w:type="dxa"/>
            <w:bottom w:w="0" w:type="dxa"/>
            <w:right w:w="0" w:type="dxa"/>
          </w:tblCellMar>
        </w:tblPrEx>
        <w:trPr>
          <w:trHeight w:val="444" w:hRule="atLeast"/>
          <w:jc w:val="center"/>
        </w:trPr>
        <w:tc>
          <w:tcPr>
            <w:tcW w:w="887" w:type="dxa"/>
            <w:tcBorders>
              <w:top w:val="outset" w:color="auto" w:sz="6" w:space="0"/>
              <w:left w:val="outset" w:color="auto" w:sz="6" w:space="0"/>
              <w:bottom w:val="outset" w:color="auto" w:sz="6" w:space="0"/>
              <w:right w:val="outset" w:color="auto" w:sz="6" w:space="0"/>
            </w:tcBorders>
            <w:shd w:val="clear" w:color="auto" w:fill="FFFFFF"/>
            <w:vAlign w:val="top"/>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eastAsia" w:ascii="宋体" w:hAnsi="宋体" w:eastAsia="宋体" w:cs="宋体"/>
                <w:i w:val="0"/>
                <w:caps w:val="0"/>
                <w:color w:val="4E4E4E"/>
                <w:spacing w:val="0"/>
                <w:sz w:val="21"/>
                <w:szCs w:val="21"/>
                <w:bdr w:val="none" w:color="auto" w:sz="0" w:space="0"/>
              </w:rPr>
              <w:t>6</w:t>
            </w:r>
          </w:p>
        </w:tc>
        <w:tc>
          <w:tcPr>
            <w:tcW w:w="5294" w:type="dxa"/>
            <w:tcBorders>
              <w:top w:val="outset" w:color="auto" w:sz="6" w:space="0"/>
              <w:left w:val="outset" w:color="auto" w:sz="6" w:space="0"/>
              <w:bottom w:val="outset" w:color="auto" w:sz="6" w:space="0"/>
              <w:right w:val="outset" w:color="auto" w:sz="6" w:space="0"/>
            </w:tcBorders>
            <w:shd w:val="clear" w:color="auto" w:fill="FFFFFF"/>
            <w:vAlign w:val="top"/>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eastAsia" w:ascii="宋体" w:hAnsi="宋体" w:eastAsia="宋体" w:cs="宋体"/>
                <w:i w:val="0"/>
                <w:caps w:val="0"/>
                <w:color w:val="4E4E4E"/>
                <w:spacing w:val="0"/>
                <w:sz w:val="21"/>
                <w:szCs w:val="21"/>
                <w:bdr w:val="none" w:color="auto" w:sz="0" w:space="0"/>
              </w:rPr>
              <w:t>各省重点实验室（含建设期）</w:t>
            </w:r>
          </w:p>
        </w:tc>
        <w:tc>
          <w:tcPr>
            <w:tcW w:w="2341" w:type="dxa"/>
            <w:tcBorders>
              <w:top w:val="outset" w:color="auto" w:sz="6" w:space="0"/>
              <w:left w:val="outset" w:color="auto" w:sz="6" w:space="0"/>
              <w:bottom w:val="outset" w:color="auto" w:sz="6" w:space="0"/>
              <w:right w:val="outset" w:color="auto" w:sz="6" w:space="0"/>
            </w:tcBorders>
            <w:shd w:val="clear" w:color="auto" w:fill="FFFFFF"/>
            <w:vAlign w:val="top"/>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eastAsia" w:ascii="宋体" w:hAnsi="宋体" w:eastAsia="宋体" w:cs="宋体"/>
                <w:i w:val="0"/>
                <w:caps w:val="0"/>
                <w:color w:val="4E4E4E"/>
                <w:spacing w:val="0"/>
                <w:sz w:val="21"/>
                <w:szCs w:val="21"/>
                <w:bdr w:val="none" w:color="auto" w:sz="0" w:space="0"/>
              </w:rPr>
              <w:t>1</w:t>
            </w:r>
          </w:p>
        </w:tc>
      </w:tr>
      <w:tr>
        <w:tblPrEx>
          <w:tblBorders>
            <w:top w:val="single" w:color="auto" w:sz="8" w:space="0"/>
            <w:left w:val="single" w:color="auto" w:sz="8" w:space="0"/>
            <w:bottom w:val="single" w:color="auto" w:sz="8" w:space="0"/>
            <w:right w:val="single" w:color="auto" w:sz="8" w:space="0"/>
            <w:insideH w:val="outset" w:color="auto" w:sz="6" w:space="0"/>
            <w:insideV w:val="outset" w:color="auto" w:sz="6" w:space="0"/>
          </w:tblBorders>
          <w:tblCellMar>
            <w:top w:w="0" w:type="dxa"/>
            <w:left w:w="0" w:type="dxa"/>
            <w:bottom w:w="0" w:type="dxa"/>
            <w:right w:w="0" w:type="dxa"/>
          </w:tblCellMar>
        </w:tblPrEx>
        <w:trPr>
          <w:trHeight w:val="444" w:hRule="atLeast"/>
          <w:jc w:val="center"/>
        </w:trPr>
        <w:tc>
          <w:tcPr>
            <w:tcW w:w="887"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eastAsia" w:ascii="宋体" w:hAnsi="宋体" w:eastAsia="宋体" w:cs="宋体"/>
                <w:i w:val="0"/>
                <w:caps w:val="0"/>
                <w:color w:val="4E4E4E"/>
                <w:spacing w:val="0"/>
                <w:sz w:val="21"/>
                <w:szCs w:val="21"/>
                <w:bdr w:val="none" w:color="auto" w:sz="0" w:space="0"/>
              </w:rPr>
              <w:t>7</w:t>
            </w:r>
          </w:p>
        </w:tc>
        <w:tc>
          <w:tcPr>
            <w:tcW w:w="5294" w:type="dxa"/>
            <w:tcBorders>
              <w:top w:val="outset" w:color="auto" w:sz="6" w:space="0"/>
              <w:left w:val="outset" w:color="auto" w:sz="6" w:space="0"/>
              <w:bottom w:val="outset" w:color="auto" w:sz="6" w:space="0"/>
              <w:right w:val="outset" w:color="auto" w:sz="6" w:space="0"/>
            </w:tcBorders>
            <w:shd w:val="clear" w:color="auto" w:fill="FFFFFF"/>
            <w:vAlign w:val="top"/>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eastAsia" w:ascii="宋体" w:hAnsi="宋体" w:eastAsia="宋体" w:cs="宋体"/>
                <w:i w:val="0"/>
                <w:caps w:val="0"/>
                <w:color w:val="4E4E4E"/>
                <w:spacing w:val="0"/>
                <w:sz w:val="21"/>
                <w:szCs w:val="21"/>
                <w:bdr w:val="none" w:color="auto" w:sz="0" w:space="0"/>
              </w:rPr>
              <w:t>具备基础研究条件的省工程技术研究中心</w:t>
            </w:r>
          </w:p>
        </w:tc>
        <w:tc>
          <w:tcPr>
            <w:tcW w:w="2341"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eastAsia" w:ascii="宋体" w:hAnsi="宋体" w:eastAsia="宋体" w:cs="宋体"/>
                <w:i w:val="0"/>
                <w:caps w:val="0"/>
                <w:color w:val="4E4E4E"/>
                <w:spacing w:val="0"/>
                <w:sz w:val="21"/>
                <w:szCs w:val="21"/>
                <w:bdr w:val="none" w:color="auto" w:sz="0" w:space="0"/>
              </w:rPr>
              <w:t>1</w:t>
            </w:r>
          </w:p>
        </w:tc>
      </w:tr>
    </w:tbl>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（2）择优推荐。各单位科技管理部门应严格依据选题重点和申报条件，按照公开公正的原则，组织单位学术委员会（或专家）对申报项目进行择优推荐（州市、省直管县市须同级科技主管部门推荐）。</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（3）云南省科研人员2019年申报的国家自然科学基金重点项目、NSFC—云南联合基金项目，进入会议评审但未获得立项资助的，立项支持项目负责人同研究方向1项重点项目（不占依托单位的申报名额）。</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二、面上项目</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支持青年科研人员在自然科学范畴内自主选题，开展创新性研究，促进优势特色学科发展和创新人才成长。</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资助额度为10万元/项，项目实施期限为3年。</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（一）选题范围</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在自然科学范畴内自主选题。</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（二）申报要求</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1. 申请人条件</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（1）申报单位全职科研人员；</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（2）申请当年1月1日未满40周岁（1980年1月1日以后出生）；</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（3）具有良好的科学道德；</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（4）具有从事基础研究的经历；</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（5）主持过重点项目或2项及以上面上项目的，不得作为项目负责人申请；</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（6）符合年度项目申报指南中的相关规定。</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2. 申报方式</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1）单位限额申报。以2019年各单位获国家自然科学基金项目数为依据，按《2021年面上项目申报项目数分配表》要求组织申报。省重点实验室和省工程技术研究中心申报指标的项目申请人，应为省重点实验室和省工程技术研究中心的固定人员，依托单位不可统筹使用该指标。</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center"/>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2021年面上项目申报项目数分配表</w:t>
      </w:r>
    </w:p>
    <w:tbl>
      <w:tblPr>
        <w:tblW w:w="0" w:type="auto"/>
        <w:jc w:val="center"/>
        <w:tblBorders>
          <w:top w:val="single" w:color="auto" w:sz="8" w:space="0"/>
          <w:left w:val="single" w:color="auto" w:sz="8" w:space="0"/>
          <w:bottom w:val="single" w:color="auto" w:sz="8" w:space="0"/>
          <w:right w:val="single" w:color="auto" w:sz="8"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865"/>
        <w:gridCol w:w="3104"/>
        <w:gridCol w:w="4353"/>
      </w:tblGrid>
      <w:tr>
        <w:tblPrEx>
          <w:tblBorders>
            <w:top w:val="single" w:color="auto" w:sz="8" w:space="0"/>
            <w:left w:val="single" w:color="auto" w:sz="8" w:space="0"/>
            <w:bottom w:val="single" w:color="auto" w:sz="8" w:space="0"/>
            <w:right w:val="single" w:color="auto" w:sz="8" w:space="0"/>
            <w:insideH w:val="outset" w:color="auto" w:sz="6" w:space="0"/>
            <w:insideV w:val="outset" w:color="auto" w:sz="6" w:space="0"/>
          </w:tblBorders>
          <w:shd w:val="clear" w:color="auto" w:fill="FFFFFF"/>
          <w:tblCellMar>
            <w:top w:w="0" w:type="dxa"/>
            <w:left w:w="0" w:type="dxa"/>
            <w:bottom w:w="0" w:type="dxa"/>
            <w:right w:w="0" w:type="dxa"/>
          </w:tblCellMar>
        </w:tblPrEx>
        <w:trPr>
          <w:trHeight w:val="458" w:hRule="atLeast"/>
          <w:jc w:val="center"/>
        </w:trPr>
        <w:tc>
          <w:tcPr>
            <w:tcW w:w="871"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eastAsia" w:ascii="宋体" w:hAnsi="宋体" w:eastAsia="宋体" w:cs="宋体"/>
                <w:i w:val="0"/>
                <w:caps w:val="0"/>
                <w:color w:val="4E4E4E"/>
                <w:spacing w:val="0"/>
                <w:sz w:val="21"/>
                <w:szCs w:val="21"/>
                <w:bdr w:val="none" w:color="auto" w:sz="0" w:space="0"/>
              </w:rPr>
              <w:t>序号</w:t>
            </w:r>
          </w:p>
        </w:tc>
        <w:tc>
          <w:tcPr>
            <w:tcW w:w="3180"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eastAsia" w:ascii="宋体" w:hAnsi="宋体" w:eastAsia="宋体" w:cs="宋体"/>
                <w:i w:val="0"/>
                <w:caps w:val="0"/>
                <w:color w:val="4E4E4E"/>
                <w:spacing w:val="0"/>
                <w:sz w:val="21"/>
                <w:szCs w:val="21"/>
                <w:bdr w:val="none" w:color="auto" w:sz="0" w:space="0"/>
              </w:rPr>
              <w:t>2019年获国家基金项目情况</w:t>
            </w:r>
          </w:p>
        </w:tc>
        <w:tc>
          <w:tcPr>
            <w:tcW w:w="4471"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eastAsia" w:ascii="宋体" w:hAnsi="宋体" w:eastAsia="宋体" w:cs="宋体"/>
                <w:i w:val="0"/>
                <w:caps w:val="0"/>
                <w:color w:val="4E4E4E"/>
                <w:spacing w:val="0"/>
                <w:sz w:val="21"/>
                <w:szCs w:val="21"/>
                <w:bdr w:val="none" w:color="auto" w:sz="0" w:space="0"/>
              </w:rPr>
              <w:t>每家单位推荐申报数（项）</w:t>
            </w:r>
          </w:p>
        </w:tc>
      </w:tr>
      <w:tr>
        <w:tblPrEx>
          <w:tblBorders>
            <w:top w:val="single" w:color="auto" w:sz="8" w:space="0"/>
            <w:left w:val="single" w:color="auto" w:sz="8" w:space="0"/>
            <w:bottom w:val="single" w:color="auto" w:sz="8" w:space="0"/>
            <w:right w:val="single" w:color="auto" w:sz="8" w:space="0"/>
            <w:insideH w:val="outset" w:color="auto" w:sz="6" w:space="0"/>
            <w:insideV w:val="outset" w:color="auto" w:sz="6" w:space="0"/>
          </w:tblBorders>
          <w:tblCellMar>
            <w:top w:w="0" w:type="dxa"/>
            <w:left w:w="0" w:type="dxa"/>
            <w:bottom w:w="0" w:type="dxa"/>
            <w:right w:w="0" w:type="dxa"/>
          </w:tblCellMar>
        </w:tblPrEx>
        <w:trPr>
          <w:trHeight w:val="458" w:hRule="atLeast"/>
          <w:jc w:val="center"/>
        </w:trPr>
        <w:tc>
          <w:tcPr>
            <w:tcW w:w="871"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eastAsia" w:ascii="宋体" w:hAnsi="宋体" w:eastAsia="宋体" w:cs="宋体"/>
                <w:i w:val="0"/>
                <w:caps w:val="0"/>
                <w:color w:val="4E4E4E"/>
                <w:spacing w:val="0"/>
                <w:sz w:val="21"/>
                <w:szCs w:val="21"/>
                <w:bdr w:val="none" w:color="auto" w:sz="0" w:space="0"/>
              </w:rPr>
              <w:t>1</w:t>
            </w:r>
          </w:p>
        </w:tc>
        <w:tc>
          <w:tcPr>
            <w:tcW w:w="3180"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eastAsia" w:ascii="宋体" w:hAnsi="宋体" w:eastAsia="宋体" w:cs="宋体"/>
                <w:i w:val="0"/>
                <w:caps w:val="0"/>
                <w:color w:val="4E4E4E"/>
                <w:spacing w:val="0"/>
                <w:sz w:val="21"/>
                <w:szCs w:val="21"/>
                <w:bdr w:val="none" w:color="auto" w:sz="0" w:space="0"/>
              </w:rPr>
              <w:t>获得资助</w:t>
            </w:r>
          </w:p>
        </w:tc>
        <w:tc>
          <w:tcPr>
            <w:tcW w:w="4471"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eastAsia" w:ascii="宋体" w:hAnsi="宋体" w:eastAsia="宋体" w:cs="宋体"/>
                <w:i w:val="0"/>
                <w:caps w:val="0"/>
                <w:color w:val="4E4E4E"/>
                <w:spacing w:val="0"/>
                <w:sz w:val="21"/>
                <w:szCs w:val="21"/>
                <w:bdr w:val="none" w:color="auto" w:sz="0" w:space="0"/>
              </w:rPr>
              <w:t>2019年获国家基金项目数的1/2（有小数的四舍五入保留整数）</w:t>
            </w:r>
          </w:p>
        </w:tc>
      </w:tr>
      <w:tr>
        <w:tblPrEx>
          <w:tblBorders>
            <w:top w:val="single" w:color="auto" w:sz="8" w:space="0"/>
            <w:left w:val="single" w:color="auto" w:sz="8" w:space="0"/>
            <w:bottom w:val="single" w:color="auto" w:sz="8" w:space="0"/>
            <w:right w:val="single" w:color="auto" w:sz="8" w:space="0"/>
            <w:insideH w:val="outset" w:color="auto" w:sz="6" w:space="0"/>
            <w:insideV w:val="outset" w:color="auto" w:sz="6" w:space="0"/>
          </w:tblBorders>
          <w:tblCellMar>
            <w:top w:w="0" w:type="dxa"/>
            <w:left w:w="0" w:type="dxa"/>
            <w:bottom w:w="0" w:type="dxa"/>
            <w:right w:w="0" w:type="dxa"/>
          </w:tblCellMar>
        </w:tblPrEx>
        <w:trPr>
          <w:trHeight w:val="516" w:hRule="atLeast"/>
          <w:jc w:val="center"/>
        </w:trPr>
        <w:tc>
          <w:tcPr>
            <w:tcW w:w="871"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eastAsia" w:ascii="宋体" w:hAnsi="宋体" w:eastAsia="宋体" w:cs="宋体"/>
                <w:i w:val="0"/>
                <w:caps w:val="0"/>
                <w:color w:val="4E4E4E"/>
                <w:spacing w:val="0"/>
                <w:sz w:val="21"/>
                <w:szCs w:val="21"/>
                <w:bdr w:val="none" w:color="auto" w:sz="0" w:space="0"/>
              </w:rPr>
              <w:t>2</w:t>
            </w:r>
          </w:p>
        </w:tc>
        <w:tc>
          <w:tcPr>
            <w:tcW w:w="3180"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eastAsia" w:ascii="宋体" w:hAnsi="宋体" w:eastAsia="宋体" w:cs="宋体"/>
                <w:i w:val="0"/>
                <w:caps w:val="0"/>
                <w:color w:val="4E4E4E"/>
                <w:spacing w:val="0"/>
                <w:sz w:val="21"/>
                <w:szCs w:val="21"/>
                <w:bdr w:val="none" w:color="auto" w:sz="0" w:space="0"/>
              </w:rPr>
              <w:t>未获资助</w:t>
            </w:r>
          </w:p>
        </w:tc>
        <w:tc>
          <w:tcPr>
            <w:tcW w:w="4471"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eastAsia" w:ascii="宋体" w:hAnsi="宋体" w:eastAsia="宋体" w:cs="宋体"/>
                <w:i w:val="0"/>
                <w:caps w:val="0"/>
                <w:color w:val="4E4E4E"/>
                <w:spacing w:val="0"/>
                <w:sz w:val="21"/>
                <w:szCs w:val="21"/>
                <w:bdr w:val="none" w:color="auto" w:sz="0" w:space="0"/>
              </w:rPr>
              <w:t>每个单位可申报1项</w:t>
            </w:r>
          </w:p>
        </w:tc>
      </w:tr>
      <w:tr>
        <w:tblPrEx>
          <w:tblBorders>
            <w:top w:val="single" w:color="auto" w:sz="8" w:space="0"/>
            <w:left w:val="single" w:color="auto" w:sz="8" w:space="0"/>
            <w:bottom w:val="single" w:color="auto" w:sz="8" w:space="0"/>
            <w:right w:val="single" w:color="auto" w:sz="8" w:space="0"/>
            <w:insideH w:val="outset" w:color="auto" w:sz="6" w:space="0"/>
            <w:insideV w:val="outset" w:color="auto" w:sz="6" w:space="0"/>
          </w:tblBorders>
          <w:tblCellMar>
            <w:top w:w="0" w:type="dxa"/>
            <w:left w:w="0" w:type="dxa"/>
            <w:bottom w:w="0" w:type="dxa"/>
            <w:right w:w="0" w:type="dxa"/>
          </w:tblCellMar>
        </w:tblPrEx>
        <w:trPr>
          <w:trHeight w:val="502" w:hRule="atLeast"/>
          <w:jc w:val="center"/>
        </w:trPr>
        <w:tc>
          <w:tcPr>
            <w:tcW w:w="871"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eastAsia" w:ascii="宋体" w:hAnsi="宋体" w:eastAsia="宋体" w:cs="宋体"/>
                <w:i w:val="0"/>
                <w:caps w:val="0"/>
                <w:color w:val="4E4E4E"/>
                <w:spacing w:val="0"/>
                <w:sz w:val="21"/>
                <w:szCs w:val="21"/>
                <w:bdr w:val="none" w:color="auto" w:sz="0" w:space="0"/>
              </w:rPr>
              <w:t>3</w:t>
            </w:r>
          </w:p>
        </w:tc>
        <w:tc>
          <w:tcPr>
            <w:tcW w:w="3180"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eastAsia" w:ascii="宋体" w:hAnsi="宋体" w:eastAsia="宋体" w:cs="宋体"/>
                <w:i w:val="0"/>
                <w:caps w:val="0"/>
                <w:color w:val="4E4E4E"/>
                <w:spacing w:val="0"/>
                <w:sz w:val="21"/>
                <w:szCs w:val="21"/>
                <w:bdr w:val="none" w:color="auto" w:sz="0" w:space="0"/>
              </w:rPr>
              <w:t>各省重点实验室（含建设期）</w:t>
            </w:r>
          </w:p>
        </w:tc>
        <w:tc>
          <w:tcPr>
            <w:tcW w:w="4471"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eastAsia" w:ascii="宋体" w:hAnsi="宋体" w:eastAsia="宋体" w:cs="宋体"/>
                <w:i w:val="0"/>
                <w:caps w:val="0"/>
                <w:color w:val="4E4E4E"/>
                <w:spacing w:val="0"/>
                <w:sz w:val="21"/>
                <w:szCs w:val="21"/>
                <w:bdr w:val="none" w:color="auto" w:sz="0" w:space="0"/>
              </w:rPr>
              <w:t>参与最近一次3年考核评估并获得“优”和“良”的省重点实验室每家可独立申报2项，其他省重点实验室可独立申报1项</w:t>
            </w:r>
          </w:p>
        </w:tc>
      </w:tr>
      <w:tr>
        <w:tblPrEx>
          <w:tblBorders>
            <w:top w:val="single" w:color="auto" w:sz="8" w:space="0"/>
            <w:left w:val="single" w:color="auto" w:sz="8" w:space="0"/>
            <w:bottom w:val="single" w:color="auto" w:sz="8" w:space="0"/>
            <w:right w:val="single" w:color="auto" w:sz="8" w:space="0"/>
            <w:insideH w:val="outset" w:color="auto" w:sz="6" w:space="0"/>
            <w:insideV w:val="outset" w:color="auto" w:sz="6" w:space="0"/>
          </w:tblBorders>
          <w:tblCellMar>
            <w:top w:w="0" w:type="dxa"/>
            <w:left w:w="0" w:type="dxa"/>
            <w:bottom w:w="0" w:type="dxa"/>
            <w:right w:w="0" w:type="dxa"/>
          </w:tblCellMar>
        </w:tblPrEx>
        <w:trPr>
          <w:trHeight w:val="502" w:hRule="atLeast"/>
          <w:jc w:val="center"/>
        </w:trPr>
        <w:tc>
          <w:tcPr>
            <w:tcW w:w="871"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eastAsia" w:ascii="宋体" w:hAnsi="宋体" w:eastAsia="宋体" w:cs="宋体"/>
                <w:i w:val="0"/>
                <w:caps w:val="0"/>
                <w:color w:val="4E4E4E"/>
                <w:spacing w:val="0"/>
                <w:sz w:val="21"/>
                <w:szCs w:val="21"/>
                <w:bdr w:val="none" w:color="auto" w:sz="0" w:space="0"/>
              </w:rPr>
              <w:t>4</w:t>
            </w:r>
          </w:p>
        </w:tc>
        <w:tc>
          <w:tcPr>
            <w:tcW w:w="3180"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eastAsia" w:ascii="宋体" w:hAnsi="宋体" w:eastAsia="宋体" w:cs="宋体"/>
                <w:i w:val="0"/>
                <w:caps w:val="0"/>
                <w:color w:val="4E4E4E"/>
                <w:spacing w:val="0"/>
                <w:sz w:val="21"/>
                <w:szCs w:val="21"/>
                <w:bdr w:val="none" w:color="auto" w:sz="0" w:space="0"/>
              </w:rPr>
              <w:t>具备基础研究条件的省工程技术研究中心</w:t>
            </w:r>
          </w:p>
        </w:tc>
        <w:tc>
          <w:tcPr>
            <w:tcW w:w="4471"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sz w:val="24"/>
                <w:szCs w:val="24"/>
              </w:rPr>
            </w:pPr>
            <w:r>
              <w:rPr>
                <w:rFonts w:hint="eastAsia" w:ascii="宋体" w:hAnsi="宋体" w:eastAsia="宋体" w:cs="宋体"/>
                <w:i w:val="0"/>
                <w:caps w:val="0"/>
                <w:color w:val="4E4E4E"/>
                <w:spacing w:val="0"/>
                <w:sz w:val="21"/>
                <w:szCs w:val="21"/>
                <w:bdr w:val="none" w:color="auto" w:sz="0" w:space="0"/>
              </w:rPr>
              <w:t>每个工程技术研究中心可申报1项</w:t>
            </w:r>
          </w:p>
        </w:tc>
      </w:tr>
    </w:tbl>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2）择优推荐。各单位科技管理部门应根据选题范围和申报条件组织项目申报，按照公开公正的原则，组织单位学术委员会（或专家）对申请项目进行择优推荐（州市、省直管县市项目须同级科技主管部门推荐）。</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三、杰出青年项目</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支持在基础研究方面已取得国内外同行承认的、突出的创新性成绩，有望获得国家杰出青年科学基金项目资助的青年科研人员，自主选择研究方向开展创新研究，培养造就一批进入国内科技领先行列的优秀学术带头人。</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资助额度为50万元/项，项目实施期限为3年。</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（一）选题范围</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在自然科学范畴内自主选择研究方向。</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（二）申报要求</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1. 申报单位全职科研人员；</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2. 申请当年1月1日未满40周岁（1980年1月1日以后出生）；</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3. 具有良好的科学道德；</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4. 具有高级专业技术职务（职称）或者博士学位；</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5. 具有主持基础研究项目的经历；</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6. 已获得过国家杰出青年基金项目和本办法中杰出青年项目资助的不能申请；</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7. 申请书须明确“项目执行期内进入国家杰出青年基金项目会议答辩”为考核指标之一；</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8. 符合年度项目申报指南中的其他规定。</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四、优秀青年项目</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支持在基础研究方面已取得国内外同行承认的、较好的创新性成绩，有望获得国家自然科学基金优秀青年科学基金项目资助的青年科研人员，自主选择研究方向开展创新研究，培养造就一批进入国内科技先进行列的优秀学术骨干。</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资助额度为30万元/项，项目实施期限为3年。</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（一）选题范围</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在自然科学范畴内自主选择研究方向。</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（二）申报要求</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1. 申报单位全职科研人员；</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2. 申请当年1月1日未满35周岁（1985年1月1日以后出生）；</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3. 具有良好的科学道德；</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4. 具有高级专业技术职务（职称）或者博士学位；</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5. 具有从事基础研究的经历；</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6. 已获得过国家杰出青年基金项目、国家自然科学基金优秀青年科学基金项目，以及本办法中杰出青年项目和优秀青年项目资助的不能申请；</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7. 申请书须明确“项目执行期内进入国家自然科学基金优秀青年科学基金项目会议答辩”为考核指标之一；</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8. 符合年度项目申报指南中的其他规定。</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五、青年项目</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支持青年科研人员自由选题开展基础研究，培养青年科研人员独立主持项目、开展创新研究的能力，激励创新思维，培育创新后继人才。</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资助额度为5万元/项，项目实施期限3年。</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（一）选题范围</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在自然科学范畴内自主选题。</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（二）申报要求</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1. 申请条件</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（1）申报单位全职科研人员；</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（2）2019年1月1日以后首次与云南省行政区域内的单位签订聘用合同，35岁以下（1985年1月1日以后出生）；</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（3）具有良好的科学道德；</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（4）具有博士学位；</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（5）已主持过云南省省级科技计划项目（含各类联合专项项目）的不能申请；</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（6）项目须提出明确拟解决的科学问题及考核指标，有利于青年科研人员的能力与素质提升；</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（7）符合年度项目申报指南中的相关规定。</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2. 申报方式</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各单位科技管理部门应根据选题范围和申报条件严格组织申报工作，经过单位学术委员会（或专家）对项目申请进行咨询评议，在单位内公示5个工作日，无异议后，向省科技厅推荐。</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3. 立项方式</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各单位推荐基础上，省科技厅核准备案，根据当年经费预算情况立项。</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六、各类联合专项</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昆医联合专项、中医联合专项、地方本科高校联合专项等根据各专项年度项目申报指南规定的条件进行申报。</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七、相关要求</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（一）项目经费按照《云南省科技厅  云南省财政厅关于开展部分省级科技计划项目经费使用“包干制”试点工作的通知》执行。省基础研究计划中的重点项目、杰青项目、优青项目、面上项目、青年项目的项目申请书和经费预算书中，只需填写项目总经费，不需填经费明细。</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（二）省科技厅科技计划项目（含各类联合专项项目）逾期未验收的项目负责人不能申报。</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（三）作为项目负责人的科研人员，同一年度只能申请1项基础研究计划项目（不含青年项目和各类联合专项项目）。</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（四）2个及以上单位共建的省重点实验室，项目申报指标数与其他实验室一致。</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（五）项目申请人应当根据项目的研究方向选择对应的申请代码，选择申请代码时，尽量选择到最后一级（6位或4位数字）。重点项目1—6领域，不在指南下属代码范围内的项目申请不予受理。</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六）申请人应当是所申报项目的实际负责人，限为1人；项目组成员与申请人不是同一单位的，参与者所在单位视为合作单位，合作单位的数量不得超过2个。有合作单位的，须扫描上传双方单位正式签订的合作协议。</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（七）重点、面上项目扫描上传课题组成员签名页，杰出青年、优秀青年、青年项目不用填报项目组成员表。</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（八）由于医学和生命科学研究对象的特殊性，申请人在项目申请及执行过程中应严格遵守针对相关医学伦理和患者知情同意等问题的相关规定和要求，扫描上传所在单位或上级主管单位伦理委员会的证明。</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九）涉及人的生物医学研究必须在申请书中提供依托单位或者其上级主管部门提供的伦理委员会审查意见；多单位参与的涉及伦理学研究的申请需分别提供各参与单位或上级主管部门伦理委员会审查批准的证明文件；境外机构或者个人与国内医疗卫生机构合作开展涉及人的伦理学相关的研究，应当出具国内合作研究单位提供的伦理委员会审查批准的证明文件；研究项目需要签署知情同意书的需在申请书中说明知情同意书的签署过程和程序。</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涉及伦理学相关的基础研究计划项目获批准后如若在执行期间更改研究计划的，需按以上要求重新向省科技厅提交更改研究计划后的伦理委员会的审查意见证明。</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十）对于病原微生物研究的项目申请，依托单位和项目申请人应严格执行国务院关于《病原微生物实验室生物安全管理条例》，以及有关部委、我省关于伦理和生物安全的相关规定。涉及高致病性病原微生物的项目申请，须扫描上传依托单位生物安全保障承诺书。</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（十一）涉及人类遗传资源研究的项目申请应严格遵守《中华人民共和国人类遗传资源管理条例》及相关规定。</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（十二）涉及实验动物生产、使用的项目申请，须扫描上传实验动物生产、使用许可证。</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（十三）同一研究内容已获得过财政经费资助的，基础研究计划不再立项支持。同一研究内容同一年度获得2类及以上基础研究计划项目支持建议的，按财政经费资助较高的类别立项支持。</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i w:val="0"/>
          <w:caps w:val="0"/>
          <w:color w:val="4E4E4E"/>
          <w:spacing w:val="0"/>
          <w:sz w:val="24"/>
          <w:szCs w:val="24"/>
        </w:rPr>
      </w:pPr>
      <w:r>
        <w:rPr>
          <w:rFonts w:hint="eastAsia" w:ascii="宋体" w:hAnsi="宋体" w:eastAsia="宋体" w:cs="宋体"/>
          <w:i w:val="0"/>
          <w:caps w:val="0"/>
          <w:color w:val="4E4E4E"/>
          <w:spacing w:val="0"/>
          <w:sz w:val="28"/>
          <w:szCs w:val="28"/>
          <w:bdr w:val="none" w:color="auto" w:sz="0" w:space="0"/>
          <w:shd w:val="clear" w:fill="FFFFFF"/>
        </w:rPr>
        <w:t>（十四）项目取得的研究成果，应当注明得到“云南省基础研究计划项目 XXX（项目编号）”资助，英文为“supported by Yunnan Fundamental Research Projects (grant NO. XXX)”。鼓励发表高质量论文，包括发表在具有国际影响力的国内科技期刊、业界公认的国际顶级或重要科技期刊的论文，以及在国内外顶级学术会议上进行报告的论文。</w:t>
      </w:r>
    </w:p>
    <w:p>
      <w:pPr>
        <w:keepNext w:val="0"/>
        <w:keepLines w:val="0"/>
        <w:pageBreakBefore w:val="0"/>
        <w:kinsoku/>
        <w:wordWrap/>
        <w:overflowPunct/>
        <w:topLinePunct w:val="0"/>
        <w:autoSpaceDE/>
        <w:autoSpaceDN/>
        <w:bidi w:val="0"/>
        <w:adjustRightInd/>
        <w:snapToGrid/>
        <w:spacing w:line="360" w:lineRule="auto"/>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panose1 w:val="020F0302020204030204"/>
    <w:charset w:val="00"/>
    <w:family w:val="swiss"/>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1A267F"/>
    <w:rsid w:val="01B85C04"/>
    <w:rsid w:val="04513583"/>
    <w:rsid w:val="058178BD"/>
    <w:rsid w:val="059F0AEF"/>
    <w:rsid w:val="05FA119D"/>
    <w:rsid w:val="06450A15"/>
    <w:rsid w:val="066D43F6"/>
    <w:rsid w:val="0918541B"/>
    <w:rsid w:val="098833FF"/>
    <w:rsid w:val="0A6F6E19"/>
    <w:rsid w:val="0BA3326D"/>
    <w:rsid w:val="0D1D33AB"/>
    <w:rsid w:val="0E1813F8"/>
    <w:rsid w:val="0FAA168E"/>
    <w:rsid w:val="0FC05754"/>
    <w:rsid w:val="10FB17AD"/>
    <w:rsid w:val="115568F2"/>
    <w:rsid w:val="11BE1A28"/>
    <w:rsid w:val="1362141E"/>
    <w:rsid w:val="162A03F0"/>
    <w:rsid w:val="16A52F9B"/>
    <w:rsid w:val="1704578E"/>
    <w:rsid w:val="18632EB9"/>
    <w:rsid w:val="18A84465"/>
    <w:rsid w:val="19E008CA"/>
    <w:rsid w:val="1AEF01EF"/>
    <w:rsid w:val="1D386CA4"/>
    <w:rsid w:val="1D3E6FC1"/>
    <w:rsid w:val="1D661331"/>
    <w:rsid w:val="1D737C36"/>
    <w:rsid w:val="1F594542"/>
    <w:rsid w:val="1F814250"/>
    <w:rsid w:val="1FA45A13"/>
    <w:rsid w:val="23B356D4"/>
    <w:rsid w:val="23D45A96"/>
    <w:rsid w:val="24BE677A"/>
    <w:rsid w:val="24F6048E"/>
    <w:rsid w:val="28D46AAE"/>
    <w:rsid w:val="29322383"/>
    <w:rsid w:val="2CC266F1"/>
    <w:rsid w:val="2D513C20"/>
    <w:rsid w:val="2EA83539"/>
    <w:rsid w:val="30A255B2"/>
    <w:rsid w:val="32716AC3"/>
    <w:rsid w:val="327206D2"/>
    <w:rsid w:val="34677682"/>
    <w:rsid w:val="35741D72"/>
    <w:rsid w:val="36182E98"/>
    <w:rsid w:val="369D3C09"/>
    <w:rsid w:val="38353CAE"/>
    <w:rsid w:val="3B3D1F84"/>
    <w:rsid w:val="3C9E7867"/>
    <w:rsid w:val="3D8101F9"/>
    <w:rsid w:val="3D8961BC"/>
    <w:rsid w:val="3DF82171"/>
    <w:rsid w:val="3EBA632E"/>
    <w:rsid w:val="41653C1C"/>
    <w:rsid w:val="41DA521A"/>
    <w:rsid w:val="420854BC"/>
    <w:rsid w:val="422F70E5"/>
    <w:rsid w:val="450E311A"/>
    <w:rsid w:val="49AE57B6"/>
    <w:rsid w:val="4A0A12AA"/>
    <w:rsid w:val="4AB4136F"/>
    <w:rsid w:val="4EDC230D"/>
    <w:rsid w:val="50C2246D"/>
    <w:rsid w:val="514C1998"/>
    <w:rsid w:val="52780A73"/>
    <w:rsid w:val="52B04AC0"/>
    <w:rsid w:val="52E244BF"/>
    <w:rsid w:val="536E7EEB"/>
    <w:rsid w:val="548B10F2"/>
    <w:rsid w:val="54FD02E8"/>
    <w:rsid w:val="56612462"/>
    <w:rsid w:val="568C3548"/>
    <w:rsid w:val="575F79F9"/>
    <w:rsid w:val="58176A08"/>
    <w:rsid w:val="58635711"/>
    <w:rsid w:val="586F1B99"/>
    <w:rsid w:val="591C4FB8"/>
    <w:rsid w:val="59353503"/>
    <w:rsid w:val="5B3862CD"/>
    <w:rsid w:val="5B41791E"/>
    <w:rsid w:val="5F4C74FB"/>
    <w:rsid w:val="60462AF9"/>
    <w:rsid w:val="643A3431"/>
    <w:rsid w:val="64B20A31"/>
    <w:rsid w:val="66D05C58"/>
    <w:rsid w:val="69F62699"/>
    <w:rsid w:val="69F6589A"/>
    <w:rsid w:val="6C195CD6"/>
    <w:rsid w:val="6D2B7D15"/>
    <w:rsid w:val="6E4A77E5"/>
    <w:rsid w:val="7013492D"/>
    <w:rsid w:val="702A5050"/>
    <w:rsid w:val="70CB27E6"/>
    <w:rsid w:val="71094470"/>
    <w:rsid w:val="715D4F03"/>
    <w:rsid w:val="72834F83"/>
    <w:rsid w:val="72E52F2B"/>
    <w:rsid w:val="7369500B"/>
    <w:rsid w:val="74A11EE7"/>
    <w:rsid w:val="74A21FD9"/>
    <w:rsid w:val="74EB2D72"/>
    <w:rsid w:val="76DE5C3A"/>
    <w:rsid w:val="7968176E"/>
    <w:rsid w:val="798645F5"/>
    <w:rsid w:val="79D66232"/>
    <w:rsid w:val="7B1027AF"/>
    <w:rsid w:val="7B412325"/>
    <w:rsid w:val="7E20359D"/>
    <w:rsid w:val="7FA715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80" w:firstLineChars="200"/>
      <w:jc w:val="both"/>
    </w:pPr>
    <w:rPr>
      <w:rFonts w:ascii="Times New Roman" w:hAnsi="Times New Roman" w:eastAsia="宋体" w:cstheme="minorBidi"/>
      <w:kern w:val="2"/>
      <w:sz w:val="24"/>
      <w:lang w:val="en-US" w:eastAsia="zh-CN" w:bidi="ar-SA"/>
    </w:rPr>
  </w:style>
  <w:style w:type="paragraph" w:styleId="2">
    <w:name w:val="heading 1"/>
    <w:basedOn w:val="1"/>
    <w:next w:val="1"/>
    <w:link w:val="15"/>
    <w:qFormat/>
    <w:uiPriority w:val="0"/>
    <w:pPr>
      <w:keepNext/>
      <w:keepLines/>
      <w:spacing w:beforeAutospacing="0" w:afterAutospacing="0" w:line="360" w:lineRule="auto"/>
      <w:outlineLvl w:val="0"/>
    </w:pPr>
    <w:rPr>
      <w:rFonts w:eastAsia="黑体" w:cs="Times New Roman"/>
      <w:kern w:val="44"/>
      <w:sz w:val="32"/>
    </w:rPr>
  </w:style>
  <w:style w:type="paragraph" w:styleId="3">
    <w:name w:val="heading 2"/>
    <w:basedOn w:val="1"/>
    <w:next w:val="1"/>
    <w:link w:val="16"/>
    <w:semiHidden/>
    <w:unhideWhenUsed/>
    <w:qFormat/>
    <w:uiPriority w:val="0"/>
    <w:pPr>
      <w:keepNext/>
      <w:keepLines/>
      <w:spacing w:beforeLines="0" w:beforeAutospacing="0" w:afterLines="0" w:afterAutospacing="0" w:line="360" w:lineRule="auto"/>
      <w:outlineLvl w:val="1"/>
    </w:pPr>
    <w:rPr>
      <w:rFonts w:ascii="Arial" w:hAnsi="Arial" w:eastAsia="黑体" w:cs="Times New Roman"/>
      <w:sz w:val="28"/>
    </w:rPr>
  </w:style>
  <w:style w:type="paragraph" w:styleId="4">
    <w:name w:val="heading 3"/>
    <w:basedOn w:val="1"/>
    <w:next w:val="1"/>
    <w:link w:val="14"/>
    <w:semiHidden/>
    <w:unhideWhenUsed/>
    <w:qFormat/>
    <w:uiPriority w:val="0"/>
    <w:pPr>
      <w:keepNext/>
      <w:keepLines/>
      <w:widowControl w:val="0"/>
      <w:spacing w:before="0" w:after="0" w:line="360" w:lineRule="auto"/>
      <w:ind w:left="420" w:leftChars="200" w:right="0" w:firstLine="0" w:firstLineChars="0"/>
      <w:jc w:val="left"/>
      <w:outlineLvl w:val="2"/>
    </w:pPr>
    <w:rPr>
      <w:rFonts w:ascii="Calibri" w:hAnsi="Calibri" w:eastAsia="黑体" w:cs="宋体"/>
      <w:sz w:val="24"/>
      <w:szCs w:val="32"/>
    </w:rPr>
  </w:style>
  <w:style w:type="paragraph" w:styleId="5">
    <w:name w:val="heading 4"/>
    <w:basedOn w:val="1"/>
    <w:next w:val="1"/>
    <w:link w:val="17"/>
    <w:semiHidden/>
    <w:unhideWhenUsed/>
    <w:qFormat/>
    <w:uiPriority w:val="0"/>
    <w:pPr>
      <w:keepNext/>
      <w:keepLines/>
      <w:spacing w:beforeLines="0" w:beforeAutospacing="0" w:afterLines="0" w:afterAutospacing="0" w:line="360" w:lineRule="auto"/>
      <w:ind w:left="0" w:leftChars="0" w:firstLine="480" w:firstLineChars="200"/>
      <w:outlineLvl w:val="3"/>
    </w:pPr>
    <w:rPr>
      <w:rFonts w:eastAsia="宋体" w:cs="Times New Roman" w:asciiTheme="majorAscii" w:hAnsiTheme="majorAscii"/>
    </w:rPr>
  </w:style>
  <w:style w:type="character" w:default="1" w:styleId="13">
    <w:name w:val="Default Paragraph Font"/>
    <w:semiHidden/>
    <w:unhideWhenUsed/>
    <w:qFormat/>
    <w:uiPriority w:val="1"/>
  </w:style>
  <w:style w:type="table" w:default="1" w:styleId="12">
    <w:name w:val="Normal Table"/>
    <w:semiHidden/>
    <w:qFormat/>
    <w:uiPriority w:val="0"/>
    <w:tblPr>
      <w:tblCellMar>
        <w:top w:w="0" w:type="dxa"/>
        <w:left w:w="108" w:type="dxa"/>
        <w:bottom w:w="0" w:type="dxa"/>
        <w:right w:w="108" w:type="dxa"/>
      </w:tblCellMar>
    </w:tblPr>
  </w:style>
  <w:style w:type="paragraph" w:styleId="6">
    <w:name w:val="table of authorities"/>
    <w:basedOn w:val="1"/>
    <w:next w:val="1"/>
    <w:qFormat/>
    <w:uiPriority w:val="0"/>
    <w:pPr>
      <w:ind w:left="420" w:leftChars="200"/>
    </w:pPr>
  </w:style>
  <w:style w:type="paragraph" w:styleId="7">
    <w:name w:val="toc 3"/>
    <w:basedOn w:val="1"/>
    <w:next w:val="1"/>
    <w:qFormat/>
    <w:uiPriority w:val="0"/>
    <w:pPr>
      <w:ind w:left="720" w:leftChars="300" w:firstLine="0" w:firstLineChars="0"/>
    </w:pPr>
    <w:rPr>
      <w:rFonts w:eastAsia="宋体" w:cs="Times New Roman"/>
    </w:rPr>
  </w:style>
  <w:style w:type="paragraph" w:styleId="8">
    <w:name w:val="toc 1"/>
    <w:basedOn w:val="1"/>
    <w:next w:val="1"/>
    <w:qFormat/>
    <w:uiPriority w:val="0"/>
    <w:pPr>
      <w:spacing w:line="500" w:lineRule="exact"/>
    </w:pPr>
    <w:rPr>
      <w:rFonts w:asciiTheme="minorAscii" w:hAnsiTheme="minorAscii" w:eastAsiaTheme="minorEastAsia" w:cstheme="minorBidi"/>
      <w:sz w:val="24"/>
    </w:rPr>
  </w:style>
  <w:style w:type="paragraph" w:styleId="9">
    <w:name w:val="toc 4"/>
    <w:basedOn w:val="1"/>
    <w:next w:val="1"/>
    <w:qFormat/>
    <w:uiPriority w:val="0"/>
    <w:pPr>
      <w:ind w:left="960" w:leftChars="400" w:firstLine="0" w:firstLineChars="0"/>
    </w:pPr>
    <w:rPr>
      <w:rFonts w:eastAsia="宋体" w:cs="Times New Roman"/>
    </w:rPr>
  </w:style>
  <w:style w:type="paragraph" w:styleId="10">
    <w:name w:val="toc 2"/>
    <w:basedOn w:val="1"/>
    <w:next w:val="1"/>
    <w:qFormat/>
    <w:uiPriority w:val="0"/>
    <w:pPr>
      <w:ind w:left="360" w:leftChars="150" w:firstLine="0" w:firstLineChars="0"/>
    </w:pPr>
    <w:rPr>
      <w:rFonts w:eastAsia="宋体" w:cs="Times New Roman"/>
    </w:rPr>
  </w:style>
  <w:style w:type="paragraph" w:styleId="11">
    <w:name w:val="Normal (Web)"/>
    <w:basedOn w:val="1"/>
    <w:uiPriority w:val="0"/>
    <w:pPr>
      <w:spacing w:before="0" w:beforeAutospacing="1" w:after="0" w:afterAutospacing="1"/>
      <w:ind w:left="0" w:right="0"/>
      <w:jc w:val="left"/>
    </w:pPr>
    <w:rPr>
      <w:kern w:val="0"/>
      <w:sz w:val="24"/>
      <w:lang w:val="en-US" w:eastAsia="zh-CN" w:bidi="ar"/>
    </w:rPr>
  </w:style>
  <w:style w:type="character" w:customStyle="1" w:styleId="14">
    <w:name w:val="标题 3 Char"/>
    <w:basedOn w:val="13"/>
    <w:link w:val="4"/>
    <w:qFormat/>
    <w:uiPriority w:val="0"/>
    <w:rPr>
      <w:rFonts w:ascii="Times New Roman" w:hAnsi="Times New Roman" w:cs="Times New Roman" w:eastAsiaTheme="minorEastAsia"/>
      <w:b/>
      <w:bCs/>
      <w:kern w:val="2"/>
      <w:sz w:val="30"/>
      <w:szCs w:val="32"/>
    </w:rPr>
  </w:style>
  <w:style w:type="character" w:customStyle="1" w:styleId="15">
    <w:name w:val="标题 1 Char"/>
    <w:basedOn w:val="13"/>
    <w:link w:val="2"/>
    <w:qFormat/>
    <w:uiPriority w:val="0"/>
    <w:rPr>
      <w:rFonts w:ascii="Calibri" w:hAnsi="Calibri" w:eastAsia="宋体" w:cs="Times New Roman"/>
      <w:b/>
      <w:bCs/>
      <w:kern w:val="44"/>
      <w:sz w:val="32"/>
      <w:szCs w:val="44"/>
    </w:rPr>
  </w:style>
  <w:style w:type="character" w:customStyle="1" w:styleId="16">
    <w:name w:val="标题 2 Char"/>
    <w:link w:val="3"/>
    <w:qFormat/>
    <w:uiPriority w:val="0"/>
    <w:rPr>
      <w:rFonts w:ascii="Arial" w:hAnsi="Arial" w:eastAsia="宋体" w:cs="Times New Roman"/>
      <w:b/>
      <w:sz w:val="30"/>
      <w:szCs w:val="22"/>
    </w:rPr>
  </w:style>
  <w:style w:type="character" w:customStyle="1" w:styleId="17">
    <w:name w:val="标题 4 Char"/>
    <w:basedOn w:val="13"/>
    <w:link w:val="5"/>
    <w:qFormat/>
    <w:uiPriority w:val="0"/>
    <w:rPr>
      <w:rFonts w:eastAsia="宋体" w:cs="Times New Roman" w:asciiTheme="majorAscii" w:hAnsiTheme="majorAscii"/>
      <w:b/>
      <w:bCs/>
      <w:kern w:val="2"/>
      <w:sz w:val="24"/>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2020-04-21T07:41:00Z</dcterms:created>
  <dc:creator>Administrator</dc:creator>
  <cp:lastModifiedBy>杀猪刀</cp:lastModifiedBy>
  <dcterms:modified xsi:type="dcterms:W3CDTF">2020-06-24T03:08:18Z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