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adjustRightInd w:val="0"/>
        <w:snapToGrid w:val="0"/>
        <w:spacing w:line="560" w:lineRule="exact"/>
        <w:ind w:right="62" w:rightChars="26"/>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云南医药健康职业学院实验室安全</w:t>
      </w:r>
      <w:r>
        <w:rPr>
          <w:rFonts w:hint="eastAsia" w:ascii="方正小标宋简体" w:hAnsi="方正小标宋简体" w:eastAsia="方正小标宋简体" w:cs="方正小标宋简体"/>
          <w:sz w:val="44"/>
          <w:szCs w:val="44"/>
          <w:lang w:val="en-US" w:eastAsia="zh-CN"/>
        </w:rPr>
        <w:t>管理</w:t>
      </w:r>
    </w:p>
    <w:p>
      <w:pPr>
        <w:adjustRightInd w:val="0"/>
        <w:snapToGrid w:val="0"/>
        <w:spacing w:line="560" w:lineRule="exact"/>
        <w:ind w:right="62" w:rightChars="26"/>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专项行动实施方案</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为进一步</w:t>
      </w:r>
      <w:r>
        <w:rPr>
          <w:rFonts w:hint="eastAsia" w:ascii="仿宋" w:hAnsi="仿宋" w:eastAsia="仿宋" w:cs="仿宋"/>
          <w:b w:val="0"/>
          <w:bCs w:val="0"/>
          <w:color w:val="auto"/>
          <w:sz w:val="32"/>
          <w:szCs w:val="32"/>
          <w:lang w:val="en-US" w:eastAsia="zh-CN"/>
        </w:rPr>
        <w:t>增强和</w:t>
      </w:r>
      <w:r>
        <w:rPr>
          <w:rFonts w:hint="eastAsia" w:ascii="仿宋" w:hAnsi="仿宋" w:eastAsia="仿宋" w:cs="仿宋"/>
          <w:b w:val="0"/>
          <w:bCs w:val="0"/>
          <w:color w:val="auto"/>
          <w:sz w:val="32"/>
          <w:szCs w:val="32"/>
          <w:lang w:eastAsia="zh-CN"/>
        </w:rPr>
        <w:t>提升我校实验室安全管理</w:t>
      </w:r>
      <w:r>
        <w:rPr>
          <w:rFonts w:hint="eastAsia" w:ascii="仿宋" w:hAnsi="仿宋" w:eastAsia="仿宋" w:cs="仿宋"/>
          <w:b w:val="0"/>
          <w:bCs w:val="0"/>
          <w:color w:val="auto"/>
          <w:sz w:val="32"/>
          <w:szCs w:val="32"/>
          <w:lang w:val="en-US" w:eastAsia="zh-CN"/>
        </w:rPr>
        <w:t>能力和</w:t>
      </w:r>
      <w:r>
        <w:rPr>
          <w:rFonts w:hint="eastAsia" w:ascii="仿宋" w:hAnsi="仿宋" w:eastAsia="仿宋" w:cs="仿宋"/>
          <w:b w:val="0"/>
          <w:bCs w:val="0"/>
          <w:color w:val="auto"/>
          <w:sz w:val="32"/>
          <w:szCs w:val="32"/>
          <w:lang w:eastAsia="zh-CN"/>
        </w:rPr>
        <w:t>水平，确保广大师生人身安全和校园和谐</w:t>
      </w:r>
      <w:r>
        <w:rPr>
          <w:rFonts w:hint="eastAsia" w:ascii="仿宋" w:hAnsi="仿宋" w:eastAsia="仿宋" w:cs="仿宋"/>
          <w:b w:val="0"/>
          <w:bCs w:val="0"/>
          <w:color w:val="auto"/>
          <w:sz w:val="32"/>
          <w:szCs w:val="32"/>
          <w:lang w:val="en-US" w:eastAsia="zh-CN"/>
        </w:rPr>
        <w:t>安全</w:t>
      </w:r>
      <w:r>
        <w:rPr>
          <w:rFonts w:hint="eastAsia" w:ascii="仿宋" w:hAnsi="仿宋" w:eastAsia="仿宋" w:cs="仿宋"/>
          <w:b w:val="0"/>
          <w:bCs w:val="0"/>
          <w:color w:val="auto"/>
          <w:sz w:val="32"/>
          <w:szCs w:val="32"/>
          <w:lang w:eastAsia="zh-CN"/>
        </w:rPr>
        <w:t>稳定，</w:t>
      </w:r>
      <w:r>
        <w:rPr>
          <w:rFonts w:hint="eastAsia" w:ascii="仿宋" w:hAnsi="仿宋" w:eastAsia="仿宋" w:cs="仿宋"/>
          <w:b w:val="0"/>
          <w:bCs w:val="0"/>
          <w:color w:val="auto"/>
          <w:sz w:val="32"/>
          <w:szCs w:val="32"/>
          <w:lang w:val="en-US" w:eastAsia="zh-CN"/>
        </w:rPr>
        <w:t>根据教育部办公厅《关于开展加强高校实验室安全专项行动的通知》（教科信厅函</w:t>
      </w:r>
      <w:r>
        <w:rPr>
          <w:rFonts w:hint="eastAsia" w:ascii="仿宋" w:hAnsi="仿宋" w:eastAsia="仿宋" w:cs="仿宋"/>
          <w:b w:val="0"/>
          <w:bCs w:val="0"/>
          <w:color w:val="auto"/>
          <w:sz w:val="32"/>
          <w:szCs w:val="32"/>
          <w:lang w:eastAsia="zh-CN"/>
        </w:rPr>
        <w:t>〔20</w:t>
      </w:r>
      <w:r>
        <w:rPr>
          <w:rFonts w:hint="eastAsia" w:ascii="仿宋" w:hAnsi="仿宋" w:eastAsia="仿宋" w:cs="仿宋"/>
          <w:b w:val="0"/>
          <w:bCs w:val="0"/>
          <w:color w:val="auto"/>
          <w:sz w:val="32"/>
          <w:szCs w:val="32"/>
          <w:lang w:val="en-US" w:eastAsia="zh-CN"/>
        </w:rPr>
        <w:t>21</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38</w:t>
      </w:r>
      <w:r>
        <w:rPr>
          <w:rFonts w:hint="eastAsia" w:ascii="仿宋" w:hAnsi="仿宋" w:eastAsia="仿宋" w:cs="仿宋"/>
          <w:b w:val="0"/>
          <w:bCs w:val="0"/>
          <w:color w:val="auto"/>
          <w:sz w:val="32"/>
          <w:szCs w:val="32"/>
          <w:lang w:eastAsia="zh-CN"/>
        </w:rPr>
        <w:t>号</w:t>
      </w:r>
      <w:r>
        <w:rPr>
          <w:rFonts w:hint="eastAsia" w:ascii="仿宋" w:hAnsi="仿宋" w:eastAsia="仿宋" w:cs="仿宋"/>
          <w:b w:val="0"/>
          <w:bCs w:val="0"/>
          <w:color w:val="auto"/>
          <w:sz w:val="32"/>
          <w:szCs w:val="32"/>
          <w:lang w:val="en-US" w:eastAsia="zh-CN"/>
        </w:rPr>
        <w:t>）要求，特</w:t>
      </w:r>
      <w:r>
        <w:rPr>
          <w:rFonts w:hint="eastAsia" w:ascii="仿宋" w:hAnsi="仿宋" w:eastAsia="仿宋" w:cs="仿宋"/>
          <w:b w:val="0"/>
          <w:bCs w:val="0"/>
          <w:color w:val="auto"/>
          <w:sz w:val="32"/>
          <w:szCs w:val="32"/>
          <w:lang w:eastAsia="zh-CN"/>
        </w:rPr>
        <w:t>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shd w:val="clear" w:color="auto" w:fill="FFFFFF"/>
          <w:lang w:val="en-US" w:eastAsia="zh-CN"/>
        </w:rPr>
      </w:pPr>
      <w:r>
        <w:rPr>
          <w:rFonts w:hint="eastAsia" w:ascii="黑体" w:hAnsi="黑体" w:eastAsia="黑体" w:cs="黑体"/>
          <w:b w:val="0"/>
          <w:bCs w:val="0"/>
          <w:color w:val="auto"/>
          <w:sz w:val="32"/>
          <w:szCs w:val="32"/>
          <w:shd w:val="clear" w:color="auto" w:fill="FFFFFF"/>
          <w:lang w:eastAsia="zh-CN"/>
        </w:rPr>
        <w:t>一、指导思想及</w:t>
      </w:r>
      <w:r>
        <w:rPr>
          <w:rFonts w:hint="eastAsia" w:ascii="黑体" w:hAnsi="黑体" w:eastAsia="黑体" w:cs="黑体"/>
          <w:b w:val="0"/>
          <w:bCs w:val="0"/>
          <w:color w:val="auto"/>
          <w:sz w:val="32"/>
          <w:szCs w:val="32"/>
          <w:shd w:val="clear" w:color="auto" w:fill="FFFFFF"/>
          <w:lang w:val="en-US" w:eastAsia="zh-CN"/>
        </w:rPr>
        <w:t>总体要求</w:t>
      </w:r>
    </w:p>
    <w:p>
      <w:pPr>
        <w:spacing w:line="360" w:lineRule="auto"/>
        <w:ind w:firstLine="640" w:firstLineChars="200"/>
        <w:rPr>
          <w:rFonts w:hint="eastAsia" w:ascii="仿宋" w:hAnsi="仿宋" w:eastAsia="仿宋" w:cs="仿宋"/>
          <w:sz w:val="28"/>
          <w:szCs w:val="28"/>
        </w:rPr>
      </w:pPr>
      <w:r>
        <w:rPr>
          <w:rFonts w:hint="eastAsia" w:ascii="仿宋" w:hAnsi="仿宋" w:eastAsia="仿宋" w:cs="仿宋"/>
          <w:b w:val="0"/>
          <w:bCs w:val="0"/>
          <w:color w:val="auto"/>
          <w:sz w:val="32"/>
          <w:szCs w:val="32"/>
          <w:lang w:val="en-US" w:eastAsia="zh-CN"/>
        </w:rPr>
        <w:t>坚持以习近平新时代中国特色社会主义思想为指导，全面贯彻落实习近平总书记关于安全生产的重要论述和指示批示精神，坚持人民至上、生命至上，牢固树立安全发展理念，严格落实安全生产责任制。全面落实《教育部关于加强高校实验室安全工作的意见》（教技函</w:t>
      </w:r>
      <w:r>
        <w:rPr>
          <w:rFonts w:hint="eastAsia" w:ascii="仿宋" w:hAnsi="仿宋" w:eastAsia="仿宋" w:cs="仿宋"/>
          <w:b w:val="0"/>
          <w:bCs w:val="0"/>
          <w:color w:val="auto"/>
          <w:sz w:val="32"/>
          <w:szCs w:val="32"/>
          <w:lang w:eastAsia="zh-CN"/>
        </w:rPr>
        <w:t>〔20</w:t>
      </w:r>
      <w:r>
        <w:rPr>
          <w:rFonts w:hint="eastAsia" w:ascii="仿宋" w:hAnsi="仿宋" w:eastAsia="仿宋" w:cs="仿宋"/>
          <w:b w:val="0"/>
          <w:bCs w:val="0"/>
          <w:color w:val="auto"/>
          <w:sz w:val="32"/>
          <w:szCs w:val="32"/>
          <w:lang w:val="en-US" w:eastAsia="zh-CN"/>
        </w:rPr>
        <w:t>19</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36</w:t>
      </w:r>
      <w:r>
        <w:rPr>
          <w:rFonts w:hint="eastAsia" w:ascii="仿宋" w:hAnsi="仿宋" w:eastAsia="仿宋" w:cs="仿宋"/>
          <w:b w:val="0"/>
          <w:bCs w:val="0"/>
          <w:color w:val="auto"/>
          <w:sz w:val="32"/>
          <w:szCs w:val="32"/>
          <w:lang w:eastAsia="zh-CN"/>
        </w:rPr>
        <w:t>号</w:t>
      </w:r>
      <w:r>
        <w:rPr>
          <w:rFonts w:hint="eastAsia" w:ascii="仿宋" w:hAnsi="仿宋" w:eastAsia="仿宋" w:cs="仿宋"/>
          <w:b w:val="0"/>
          <w:bCs w:val="0"/>
          <w:color w:val="auto"/>
          <w:sz w:val="32"/>
          <w:szCs w:val="32"/>
          <w:lang w:val="en-US" w:eastAsia="zh-CN"/>
        </w:rPr>
        <w:t>）、《教育系统安全专项整治三年行动实施方案》（教发函</w:t>
      </w:r>
      <w:r>
        <w:rPr>
          <w:rFonts w:hint="eastAsia" w:ascii="仿宋" w:hAnsi="仿宋" w:eastAsia="仿宋" w:cs="仿宋"/>
          <w:b w:val="0"/>
          <w:bCs w:val="0"/>
          <w:color w:val="auto"/>
          <w:sz w:val="32"/>
          <w:szCs w:val="32"/>
          <w:lang w:eastAsia="zh-CN"/>
        </w:rPr>
        <w:t>〔20</w:t>
      </w:r>
      <w:r>
        <w:rPr>
          <w:rFonts w:hint="eastAsia" w:ascii="仿宋" w:hAnsi="仿宋" w:eastAsia="仿宋" w:cs="仿宋"/>
          <w:b w:val="0"/>
          <w:bCs w:val="0"/>
          <w:color w:val="auto"/>
          <w:sz w:val="32"/>
          <w:szCs w:val="32"/>
          <w:lang w:val="en-US" w:eastAsia="zh-CN"/>
        </w:rPr>
        <w:t>20</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23</w:t>
      </w:r>
      <w:r>
        <w:rPr>
          <w:rFonts w:hint="eastAsia" w:ascii="仿宋" w:hAnsi="仿宋" w:eastAsia="仿宋" w:cs="仿宋"/>
          <w:b w:val="0"/>
          <w:bCs w:val="0"/>
          <w:color w:val="auto"/>
          <w:sz w:val="32"/>
          <w:szCs w:val="32"/>
          <w:lang w:eastAsia="zh-CN"/>
        </w:rPr>
        <w:t>号</w:t>
      </w:r>
      <w:r>
        <w:rPr>
          <w:rFonts w:hint="eastAsia" w:ascii="仿宋" w:hAnsi="仿宋" w:eastAsia="仿宋" w:cs="仿宋"/>
          <w:b w:val="0"/>
          <w:bCs w:val="0"/>
          <w:color w:val="auto"/>
          <w:sz w:val="32"/>
          <w:szCs w:val="32"/>
          <w:lang w:val="en-US" w:eastAsia="zh-CN"/>
        </w:rPr>
        <w:t>）和《云南省教育厅关于开展加强高校实验室安全专项行动的通知》要求，</w:t>
      </w:r>
      <w:r>
        <w:rPr>
          <w:rFonts w:hint="eastAsia" w:ascii="仿宋" w:hAnsi="仿宋" w:eastAsia="仿宋" w:cs="仿宋"/>
          <w:b w:val="0"/>
          <w:bCs w:val="0"/>
          <w:color w:val="auto"/>
          <w:sz w:val="32"/>
          <w:szCs w:val="32"/>
          <w:lang w:eastAsia="zh-CN"/>
        </w:rPr>
        <w:t>按照“全覆盖、零容忍、严执法、重实效”、“党政同责、一岗双责、齐抓共管、失职追责”和“管业务必须管安全”要求，</w:t>
      </w:r>
      <w:r>
        <w:rPr>
          <w:rFonts w:hint="eastAsia" w:ascii="仿宋" w:hAnsi="仿宋" w:eastAsia="仿宋" w:cs="仿宋"/>
          <w:b w:val="0"/>
          <w:bCs w:val="0"/>
          <w:color w:val="auto"/>
          <w:sz w:val="32"/>
          <w:szCs w:val="32"/>
          <w:lang w:val="en-US" w:eastAsia="zh-CN"/>
        </w:rPr>
        <w:t>认真</w:t>
      </w:r>
      <w:r>
        <w:rPr>
          <w:rFonts w:hint="eastAsia" w:ascii="仿宋" w:hAnsi="仿宋" w:eastAsia="仿宋" w:cs="仿宋"/>
          <w:b w:val="0"/>
          <w:bCs w:val="0"/>
          <w:color w:val="auto"/>
          <w:sz w:val="32"/>
          <w:szCs w:val="32"/>
          <w:lang w:eastAsia="zh-CN"/>
        </w:rPr>
        <w:t>贯彻“谁使用、谁负责;谁主管，谁负责”工作原则，落实“教育为先、预防为主、以人为本、安全第一”工作方针，对全校实验室进行全面细致的安全隐患专项检查和整治。通过排查安全隐患，堵塞安全漏洞，落实安全措施，规范安全教育，</w:t>
      </w:r>
      <w:r>
        <w:rPr>
          <w:rFonts w:hint="eastAsia" w:ascii="仿宋" w:hAnsi="仿宋" w:eastAsia="仿宋" w:cs="仿宋"/>
          <w:b w:val="0"/>
          <w:bCs w:val="0"/>
          <w:color w:val="auto"/>
          <w:sz w:val="32"/>
          <w:szCs w:val="32"/>
          <w:lang w:val="en-US" w:eastAsia="zh-CN"/>
        </w:rPr>
        <w:t>健全</w:t>
      </w:r>
      <w:r>
        <w:rPr>
          <w:rFonts w:hint="eastAsia" w:ascii="仿宋" w:hAnsi="仿宋" w:eastAsia="仿宋" w:cs="仿宋"/>
          <w:b w:val="0"/>
          <w:bCs w:val="0"/>
          <w:color w:val="auto"/>
          <w:sz w:val="32"/>
          <w:szCs w:val="32"/>
          <w:lang w:eastAsia="zh-CN"/>
        </w:rPr>
        <w:t>完善安全事故应急预案等工作，</w:t>
      </w:r>
      <w:r>
        <w:rPr>
          <w:rFonts w:hint="eastAsia" w:ascii="仿宋" w:hAnsi="仿宋" w:eastAsia="仿宋" w:cs="仿宋"/>
          <w:b w:val="0"/>
          <w:bCs w:val="0"/>
          <w:color w:val="auto"/>
          <w:sz w:val="32"/>
          <w:szCs w:val="32"/>
          <w:lang w:val="en-US" w:eastAsia="zh-CN"/>
        </w:rPr>
        <w:t>从根本上杜绝安全事故隐患，确保把人民生命安全放在第一位，</w:t>
      </w:r>
      <w:r>
        <w:rPr>
          <w:rFonts w:hint="eastAsia" w:ascii="仿宋" w:hAnsi="仿宋" w:eastAsia="仿宋" w:cs="仿宋"/>
          <w:b w:val="0"/>
          <w:bCs w:val="0"/>
          <w:color w:val="auto"/>
          <w:sz w:val="32"/>
          <w:szCs w:val="32"/>
          <w:lang w:eastAsia="zh-CN"/>
        </w:rPr>
        <w:t>进一步健全和规范我校实验室安全管理规章制度、安全监管责任体系和长效工作机制，</w:t>
      </w:r>
      <w:r>
        <w:rPr>
          <w:rFonts w:hint="eastAsia" w:ascii="仿宋" w:hAnsi="仿宋" w:eastAsia="仿宋" w:cs="仿宋"/>
          <w:b w:val="0"/>
          <w:bCs w:val="0"/>
          <w:color w:val="auto"/>
          <w:sz w:val="32"/>
          <w:szCs w:val="32"/>
          <w:lang w:val="en-US" w:eastAsia="zh-CN"/>
        </w:rPr>
        <w:t>进一步</w:t>
      </w:r>
      <w:r>
        <w:rPr>
          <w:rFonts w:hint="eastAsia" w:ascii="仿宋" w:hAnsi="仿宋" w:eastAsia="仿宋" w:cs="仿宋"/>
          <w:b w:val="0"/>
          <w:bCs w:val="0"/>
          <w:color w:val="auto"/>
          <w:sz w:val="32"/>
          <w:szCs w:val="32"/>
          <w:lang w:eastAsia="zh-CN"/>
        </w:rPr>
        <w:t>提升实验室安全工作规范性和有效性，强化师生安全风险防控意识和能力，杜绝各类实验室安全责任事故发生，确保师生</w:t>
      </w:r>
      <w:r>
        <w:rPr>
          <w:rFonts w:hint="eastAsia" w:ascii="仿宋" w:hAnsi="仿宋" w:eastAsia="仿宋" w:cs="仿宋"/>
          <w:b w:val="0"/>
          <w:bCs w:val="0"/>
          <w:color w:val="auto"/>
          <w:sz w:val="32"/>
          <w:szCs w:val="32"/>
          <w:lang w:val="en-US" w:eastAsia="zh-CN"/>
        </w:rPr>
        <w:t>生命</w:t>
      </w:r>
      <w:r>
        <w:rPr>
          <w:rFonts w:hint="eastAsia" w:ascii="仿宋" w:hAnsi="仿宋" w:eastAsia="仿宋" w:cs="仿宋"/>
          <w:b w:val="0"/>
          <w:bCs w:val="0"/>
          <w:color w:val="auto"/>
          <w:sz w:val="32"/>
          <w:szCs w:val="32"/>
          <w:lang w:eastAsia="zh-CN"/>
        </w:rPr>
        <w:t>安全和校园</w:t>
      </w:r>
      <w:r>
        <w:rPr>
          <w:rFonts w:hint="eastAsia" w:ascii="仿宋" w:hAnsi="仿宋" w:eastAsia="仿宋" w:cs="仿宋"/>
          <w:b w:val="0"/>
          <w:bCs w:val="0"/>
          <w:color w:val="auto"/>
          <w:sz w:val="32"/>
          <w:szCs w:val="32"/>
          <w:lang w:val="en-US" w:eastAsia="zh-CN"/>
        </w:rPr>
        <w:t>安全</w:t>
      </w:r>
      <w:r>
        <w:rPr>
          <w:rFonts w:hint="eastAsia" w:ascii="仿宋" w:hAnsi="仿宋" w:eastAsia="仿宋" w:cs="仿宋"/>
          <w:b w:val="0"/>
          <w:bCs w:val="0"/>
          <w:color w:val="auto"/>
          <w:sz w:val="32"/>
          <w:szCs w:val="32"/>
          <w:lang w:eastAsia="zh-CN"/>
        </w:rPr>
        <w:t>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shd w:val="clear" w:color="auto" w:fill="FFFFFF"/>
          <w:lang w:eastAsia="zh-CN"/>
        </w:rPr>
      </w:pPr>
      <w:r>
        <w:rPr>
          <w:rFonts w:hint="eastAsia" w:ascii="黑体" w:hAnsi="黑体" w:eastAsia="黑体" w:cs="黑体"/>
          <w:b w:val="0"/>
          <w:bCs w:val="0"/>
          <w:color w:val="auto"/>
          <w:sz w:val="32"/>
          <w:szCs w:val="32"/>
          <w:shd w:val="clear" w:color="auto" w:fill="FFFFFF"/>
          <w:lang w:eastAsia="zh-CN"/>
        </w:rPr>
        <w:t>二、行动目标</w:t>
      </w:r>
    </w:p>
    <w:p>
      <w:pPr>
        <w:spacing w:line="360" w:lineRule="auto"/>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按照国家教育部及云南省教育厅要求，坚持一切工作都以安全稳定为前提，提高政治站位，增强“四个意识”、坚定“四个自信”、做到“两个维护”，强化底线思维和红线意识，克服麻痹思想和侥幸心理。全面落实学校实验室安全责任体系建设，形成齐抓共管局面;完善学校实验室分级分类和危险源管控分级分类管理体系建设，加强教学与科研项目安全审查过程管理，杜绝学校实验室重大安全事故隐患;构建完整的实验室安全教育体系，强化师生安全教育培训各个环节，对各级安全管理与技术人员加强技术培训与考核，提升师生实验室安全与应急能力;落实实验室基础设施基本安全要求，加快实验室安全科学研究与标准建设工作。专项行动取得积极成效，切实加强学校实验室安全工作，杜绝实验室安全重特大事故发生，营造安全和谐的教学、科研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shd w:val="clear" w:color="auto" w:fill="FFFFFF"/>
          <w:lang w:eastAsia="zh-CN"/>
        </w:rPr>
      </w:pPr>
      <w:r>
        <w:rPr>
          <w:rFonts w:hint="eastAsia" w:ascii="黑体" w:hAnsi="黑体" w:eastAsia="黑体" w:cs="黑体"/>
          <w:b w:val="0"/>
          <w:bCs w:val="0"/>
          <w:color w:val="auto"/>
          <w:sz w:val="32"/>
          <w:szCs w:val="32"/>
          <w:shd w:val="clear" w:color="auto" w:fill="FFFFFF"/>
          <w:lang w:eastAsia="zh-CN"/>
        </w:rPr>
        <w:t>三、主要任务</w:t>
      </w:r>
    </w:p>
    <w:p>
      <w:pPr>
        <w:spacing w:line="360" w:lineRule="auto"/>
        <w:ind w:firstLine="640"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按照国家教育部及云南省教育厅要求，实验室安全管理主要任务及责任分解为：</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(一）全面落实实验室安全责任体系</w:t>
      </w:r>
    </w:p>
    <w:p>
      <w:pPr>
        <w:spacing w:line="360" w:lineRule="auto"/>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要把安全摆在各项相关工作首位，把实验室安全作为不可逾越的红线，进一步细化学校、二级学院、实验室三级联动实验室安全管理责任体系，明确各级安全责任。坚持党政同责、一岗双责、齐抓共管、失职追责，严格落实安全责任制，完善安全监管体制，强化依法治理。学校党委应统筹实验室安全工作，把实验室安全工作纳入学校事业发展规划中，成立实验室安全工作领导小组，制定实验室安全工作计划并监督实施。学校党政主要负责人是第一责任人;分管实验室工作的校领导是重要领导责任人，协助第一责任人负责实验室安全工作;其他校领导在分管工作范围内对实验室安全工作负有支持、监督和指导职责。学校明确</w:t>
      </w:r>
      <w:r>
        <w:rPr>
          <w:rFonts w:hint="default" w:ascii="仿宋" w:hAnsi="仿宋" w:eastAsia="仿宋" w:cs="仿宋"/>
          <w:b w:val="0"/>
          <w:bCs w:val="0"/>
          <w:color w:val="auto"/>
          <w:sz w:val="32"/>
          <w:szCs w:val="32"/>
          <w:lang w:val="en-US" w:eastAsia="zh-CN"/>
        </w:rPr>
        <w:t>医学</w:t>
      </w:r>
      <w:r>
        <w:rPr>
          <w:rFonts w:hint="eastAsia" w:ascii="仿宋" w:hAnsi="仿宋" w:eastAsia="仿宋" w:cs="仿宋"/>
          <w:b w:val="0"/>
          <w:bCs w:val="0"/>
          <w:color w:val="auto"/>
          <w:sz w:val="32"/>
          <w:szCs w:val="32"/>
          <w:lang w:val="en-US" w:eastAsia="zh-CN"/>
        </w:rPr>
        <w:t>实训中心牵头负责实验室安全工作，各二级学院切实配合落实工作。各二级学院要尽到主体责任，党政负责人是二级学院实验室安全工作主要领导责任人，切实履行实验室安全闭环管理。各实验室负责人是本实验室安全工作直接责任人，应严格落实实验室安全准入、隐患整改、个人防护等日常安全管理工作，切实保障实验室安全。</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(二)提升实验室安全管理能力</w:t>
      </w:r>
    </w:p>
    <w:p>
      <w:pPr>
        <w:spacing w:line="360" w:lineRule="auto"/>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根据危险源使用和储存情况，配备专职安全管理人员。安全岗位参照岗位职责、实验室数量、师生数量、危险源类别与数量等足额配备安全管理人员。安全管理人员具备实验室安全管理或相应专业知识和管理能力，鼓励有注册安全工程师资质人员从事实验室安全管理工作。制定相关政策，保障实验室安全管理与技术人员薪资福利、绩效奖励与职业发展，依据实验室安全规划及年度实验室安全水平提升计划，配备所必需的资金列入每年预算。二级学院及实验室，明确实验室安全费用专门用于改善安全条件及人员安全教育培训。</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（三）完善实验室分级分类管理体系</w:t>
      </w:r>
    </w:p>
    <w:p>
      <w:pPr>
        <w:spacing w:line="360" w:lineRule="auto"/>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对实验室进行分级分类管理，建立完善适合学校实际的实验室分级标准，对不同风险等级的实验室采取相应管理措施;对安全隐患实施分级分类管理，制定定量分级标准，全面辨识、评估，确定事故隐患和职业危害监控点，切实落实管理责任。加强信息化建设，充分利用信息化技术，对重大危险源实施实时监控，严格全过程、全周期、可追溯管理。实验室重大安全隐患排除前或排除过程中无法保证安全的，应停止实验活动，隐患排除后经审查通过方可恢复实验。</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（四）建立健全项目风险评估与管控</w:t>
      </w:r>
    </w:p>
    <w:p>
      <w:pPr>
        <w:spacing w:line="360" w:lineRule="auto"/>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建立健全项目风险评估与管控机制，凡涉及有毒有害化学品（剧毒、易制爆、易制毒、爆炸品等)、危险气体（易燃、易爆、有毒、窒息)、病原微生物及携带致病源体的实验动物、辐射源及射线装置、同位素及核材料、危险性机械加工装置、强电强磁与激光设备、特种设备等各种危险源的科研、教学项目，必须经过风险评估后方可进行实验活动。项目负责人是项目安全的第一责任人，须对项目进行危险源甄别，如存在风险要主动上报并制定防范措施及应急预案。学校教学、科研等职能部门应在开展教学、科研新项目活动申请/立项前督查项目风险的安全评估工作，可探索依托第三方力量，增强风险研判和防控。要加强涉及危险化学品和生物安全等的采购、保存、使用、处置的全程管理。对存在重大安全隐患的项目，在未切实落实安全保障前，不得开展实验活动。</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(五)强化实验室安全教育体系建设</w:t>
      </w:r>
    </w:p>
    <w:p>
      <w:pPr>
        <w:spacing w:line="360" w:lineRule="auto"/>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建设实验室安全教育体系，把实验室安全教育纳入学生培养环节中。建立实验人员安全准入制度，要求进入实验室师生必须先进行实验室安全知识、安全技能和操作规范培训的必修课课程或培训并进行考核，未取得相应学分或未通过考核的人员不得进入实验室进行实验操作。保证师生具备必要的安全知识和应急能力，知悉自身在安全管理方面的权利和义务。</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(六）提升实验室安全应急能力</w:t>
      </w:r>
    </w:p>
    <w:p>
      <w:pPr>
        <w:spacing w:line="360" w:lineRule="auto"/>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加强实验室安全应急能力建设，结合消防安全形成完整的应急体系。在建立校级实验室安全应急预案同时，指导各二级学院和实验室建立应急预案或应急措施，并进行定期培训和实施演练。各级预案或措施要明确应急体系各节点的责任人，并配齐配足应急人员、物资、装备和经费，确保应急功能完备、人员到位、装备齐全、响应及时。实验室要配齐实验防护用品与装备并保证有效。一旦发生实验室安全事故，立即启动应急响应，迅速采取有效措施，组织抢救，防止事故扩大，减少人员伤亡和财产损失，并按照国家有关规定立即如实报告，不得瞒报、谎报或迟报，不得故意破坏事故现场、毁灭有关证据。</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(七）强化实验室安全基础设施建设</w:t>
      </w:r>
    </w:p>
    <w:p>
      <w:pPr>
        <w:spacing w:line="360" w:lineRule="auto"/>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实验室的建筑设施等基础安全水平，是影响实验室安全水平的重要因素。新建、扩建、改造实验室等项目开工前，要对空间布局、消防、强弱电、给排水、供暖与通风、建筑材料等提出一般性要求，同时要根据实验室安全的使用特点提出通风系统（包括通风橱、排风量、废气处置等)、气路与气瓶柜、试剂柜、实验台、防震防磁、噪声控制和生物安全柜等特殊要求，并加强审核审批。对不符合安全标准不适宜开展实验的，应及时按照标准进行工程改造以保障实验室安全。</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(八)持续开展学校实验室安全专项检查</w:t>
      </w:r>
    </w:p>
    <w:p>
      <w:pPr>
        <w:spacing w:line="360" w:lineRule="auto"/>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定期开展实验室安全各类隐患全面自查，及时公布与反馈;隐患整改过程要明确责任人、整改时间、整改措施，并保障经费落实;重大安全事故隐患一经发现立即立改。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shd w:val="clear" w:color="auto" w:fill="FFFFFF"/>
          <w:lang w:val="en-US" w:eastAsia="zh-CN"/>
        </w:rPr>
      </w:pPr>
      <w:r>
        <w:rPr>
          <w:rFonts w:hint="eastAsia" w:ascii="黑体" w:hAnsi="黑体" w:eastAsia="黑体" w:cs="黑体"/>
          <w:b w:val="0"/>
          <w:bCs w:val="0"/>
          <w:color w:val="auto"/>
          <w:sz w:val="32"/>
          <w:szCs w:val="32"/>
          <w:shd w:val="clear" w:color="auto" w:fill="FFFFFF"/>
          <w:lang w:val="en-US" w:eastAsia="zh-CN"/>
        </w:rPr>
        <w:t>四、检查范围和内容</w:t>
      </w:r>
    </w:p>
    <w:p>
      <w:pPr>
        <w:spacing w:line="360" w:lineRule="auto"/>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（一）检查范围</w:t>
      </w:r>
    </w:p>
    <w:p>
      <w:pPr>
        <w:spacing w:line="360" w:lineRule="auto"/>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全校所有教学实验室（实验室、实训室、实验用品存储处置场所等)。</w:t>
      </w:r>
    </w:p>
    <w:p>
      <w:pPr>
        <w:numPr>
          <w:numId w:val="0"/>
        </w:numPr>
        <w:spacing w:line="360" w:lineRule="auto"/>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（二）检查内容</w:t>
      </w:r>
    </w:p>
    <w:p>
      <w:pPr>
        <w:numPr>
          <w:numId w:val="0"/>
        </w:numPr>
        <w:spacing w:line="360" w:lineRule="auto"/>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实验室安全管理方面落实“党政同责、一岗双责”情况、实验室安全责任体系建设情况、安全管理制度的落实情况、日常安全管理情况、安全设施的维护及运行情况、实验废弃物处置管理情况、安全知识的宣传情况、应急预案设立情况，以及具体的安全隐患及其整治情况等。</w:t>
      </w:r>
    </w:p>
    <w:p>
      <w:pPr>
        <w:numPr>
          <w:numId w:val="0"/>
        </w:numPr>
        <w:spacing w:line="360" w:lineRule="auto"/>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w:t>
      </w:r>
      <w:bookmarkStart w:id="0" w:name="_GoBack"/>
      <w:bookmarkEnd w:id="0"/>
      <w:r>
        <w:rPr>
          <w:rFonts w:hint="eastAsia" w:ascii="楷体" w:hAnsi="楷体" w:eastAsia="楷体" w:cs="楷体"/>
          <w:b/>
          <w:bCs/>
          <w:sz w:val="32"/>
          <w:szCs w:val="32"/>
          <w:lang w:val="en-US" w:eastAsia="zh-CN"/>
        </w:rPr>
        <w:t>三）检查重点</w:t>
      </w:r>
    </w:p>
    <w:p>
      <w:pPr>
        <w:numPr>
          <w:numId w:val="0"/>
        </w:numPr>
        <w:spacing w:line="360" w:lineRule="auto"/>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实验室消防安全设施、用水用电安全、危险化学品管理、危险废物处置、安全制度与警示牌等。</w:t>
      </w:r>
    </w:p>
    <w:p>
      <w:pPr>
        <w:numPr>
          <w:numId w:val="0"/>
        </w:numPr>
        <w:spacing w:line="360" w:lineRule="auto"/>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（四）具体工作安排</w:t>
      </w:r>
    </w:p>
    <w:p>
      <w:pPr>
        <w:numPr>
          <w:numId w:val="0"/>
        </w:numPr>
        <w:spacing w:line="360" w:lineRule="auto"/>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本次实验室安全专项行动分为自查整改、联合检查组现场检查、工作经验总结三个阶段实施。</w:t>
      </w:r>
    </w:p>
    <w:p>
      <w:pPr>
        <w:spacing w:line="360" w:lineRule="auto"/>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1.部门自查整改（4月、8月各一次）</w:t>
      </w:r>
    </w:p>
    <w:p>
      <w:pPr>
        <w:spacing w:line="360" w:lineRule="auto"/>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各二级学院及教学单位自本方案发布之日起立即行动，对本辖区实验室及相关场所进行全面安全自查，即查即改隐患问题。不能立即完成整改的，建立风险台账，填报《云南医药健康职业学院实验室安全风险台账》(见附件)，明确责任人，限时完成整改。整改过程中，要采取有效措施，确保不发生安全事故。需要学校协调解决的问题，请及时报医学实训中心。</w:t>
      </w:r>
    </w:p>
    <w:p>
      <w:pPr>
        <w:spacing w:line="360" w:lineRule="auto"/>
        <w:ind w:firstLine="643" w:firstLineChars="200"/>
        <w:rPr>
          <w:rFonts w:hint="eastAsia" w:ascii="仿宋" w:hAnsi="仿宋" w:eastAsia="仿宋" w:cs="仿宋"/>
          <w:b w:val="0"/>
          <w:bCs w:val="0"/>
          <w:color w:val="auto"/>
          <w:sz w:val="32"/>
          <w:szCs w:val="32"/>
          <w:lang w:val="en-US" w:eastAsia="zh-CN"/>
        </w:rPr>
      </w:pPr>
      <w:r>
        <w:rPr>
          <w:rFonts w:hint="eastAsia" w:ascii="楷体" w:hAnsi="楷体" w:eastAsia="楷体" w:cs="楷体"/>
          <w:b/>
          <w:bCs/>
          <w:sz w:val="32"/>
          <w:szCs w:val="32"/>
          <w:lang w:val="en-US" w:eastAsia="zh-CN"/>
        </w:rPr>
        <w:t>2.学校检查组现场检查（5月、9月各一次）</w:t>
      </w:r>
    </w:p>
    <w:p>
      <w:pPr>
        <w:spacing w:line="360" w:lineRule="auto"/>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由学校实验室安全检查专项工作组成员，于5月和9月组织开展全校实验室安全大检查，对发现的问题隐患，下达整改通知书，限期整改。</w:t>
      </w:r>
    </w:p>
    <w:p>
      <w:pPr>
        <w:spacing w:line="360" w:lineRule="auto"/>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学校检查的主要内容有：各级、各岗位安全责任制落实情况、安全教育培训情况、安全制度规范建设及执行情况、安全事故应急预案制定及演练情况、安全风险管控情况、隐患排查与整改情况、安全设施设备配置与维护情况、安全档案建立完善情况等。</w:t>
      </w:r>
    </w:p>
    <w:p>
      <w:pPr>
        <w:spacing w:line="360" w:lineRule="auto"/>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3.工作经验总结（6月、10月各一次）</w:t>
      </w:r>
    </w:p>
    <w:p>
      <w:pPr>
        <w:spacing w:line="360" w:lineRule="auto"/>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各二级学院及教学单位在检查整改的基础上，认真总结提炼，形成书面材料，连同《云南医药健康职业学院实验室安全风险台账》，由部门(学院)安全责任人签字盖章后交医学实训中心。材料内容包括检查工作开展情况、经验做法、存在的问题及解决方案、建议意见等。部门、学院和各实验室安全责任人要结合各自实际，探讨摸索实验室安全工作规律，逐步建立完善实验室安全工作长效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shd w:val="clear" w:color="auto" w:fill="FFFFFF"/>
          <w:lang w:val="en-US" w:eastAsia="zh-CN"/>
        </w:rPr>
      </w:pPr>
      <w:r>
        <w:rPr>
          <w:rFonts w:hint="eastAsia" w:ascii="黑体" w:hAnsi="黑体" w:eastAsia="黑体" w:cs="黑体"/>
          <w:b w:val="0"/>
          <w:bCs w:val="0"/>
          <w:color w:val="auto"/>
          <w:sz w:val="32"/>
          <w:szCs w:val="32"/>
          <w:shd w:val="clear" w:color="auto" w:fill="FFFFFF"/>
          <w:lang w:val="en-US" w:eastAsia="zh-CN"/>
        </w:rPr>
        <w:t>五、工作要求</w:t>
      </w:r>
    </w:p>
    <w:p>
      <w:pPr>
        <w:spacing w:line="360" w:lineRule="auto"/>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(一)加强领导，落实责任</w:t>
      </w:r>
    </w:p>
    <w:p>
      <w:pPr>
        <w:spacing w:line="360" w:lineRule="auto"/>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各二级学院及教学部门要明确实验室安全责任人，党政一把手牵头负责本单位实验室安全检查工作，进一步强化实验室校、院、实验室三级管理制度和检查制度。做到统一思想，提高认识，协调配合，明确责任，狠抓落实，确保检查工作取得实效。对因检查不细致或整治不到位而发生安全事故的，要严肃追责。</w:t>
      </w:r>
    </w:p>
    <w:p>
      <w:pPr>
        <w:spacing w:line="360" w:lineRule="auto"/>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（二）突出重点，强化措施</w:t>
      </w:r>
    </w:p>
    <w:p>
      <w:pPr>
        <w:spacing w:line="360" w:lineRule="auto"/>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各二级学院及教学部门要严格按照法律法规和操作规范管理使用实验用品(特别是针对危险化学品要开展彻底清查);对检查出的每一处安全隐患要登记记录，并提出具体整治办法，及时消除安全隐患。并通过加强制度建设，建立安全管理的长效机制。</w:t>
      </w:r>
    </w:p>
    <w:p>
      <w:pPr>
        <w:spacing w:line="360" w:lineRule="auto"/>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（三）宣传引导，舆论监督</w:t>
      </w:r>
    </w:p>
    <w:p>
      <w:pPr>
        <w:spacing w:line="360" w:lineRule="auto"/>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各二级学院要充分利用微博、微信、校园网络等各种媒体，广泛宣传普及安全知识，积极开展实验室安全教育工作，形成良好的安全教育宣传氛围，切实提高广大师生的安全意识。</w:t>
      </w:r>
    </w:p>
    <w:p>
      <w:pPr>
        <w:spacing w:line="360" w:lineRule="auto"/>
        <w:ind w:firstLine="643" w:firstLineChars="200"/>
        <w:rPr>
          <w:rFonts w:hint="eastAsia" w:ascii="仿宋" w:hAnsi="仿宋" w:eastAsia="仿宋" w:cs="仿宋"/>
          <w:b w:val="0"/>
          <w:bCs w:val="0"/>
          <w:color w:val="auto"/>
          <w:sz w:val="32"/>
          <w:szCs w:val="32"/>
          <w:lang w:val="en-US" w:eastAsia="zh-CN"/>
        </w:rPr>
      </w:pPr>
      <w:r>
        <w:rPr>
          <w:rFonts w:hint="eastAsia" w:ascii="楷体" w:hAnsi="楷体" w:eastAsia="楷体" w:cs="楷体"/>
          <w:b/>
          <w:bCs/>
          <w:sz w:val="32"/>
          <w:szCs w:val="32"/>
          <w:lang w:val="en-US" w:eastAsia="zh-CN"/>
        </w:rPr>
        <w:t>(四)实验室安全管理、检查和整治情况，将纳入学校年度考核中。</w:t>
      </w:r>
      <w:r>
        <w:rPr>
          <w:rFonts w:hint="eastAsia" w:ascii="仿宋" w:hAnsi="仿宋" w:eastAsia="仿宋" w:cs="仿宋"/>
          <w:b w:val="0"/>
          <w:bCs w:val="0"/>
          <w:color w:val="auto"/>
          <w:sz w:val="32"/>
          <w:szCs w:val="32"/>
          <w:lang w:val="en-US" w:eastAsia="zh-CN"/>
        </w:rPr>
        <w:t>请各部门严肃、认真地对待该项工作，及时完成各项任务，确保实验室不发生安全事故。</w:t>
      </w:r>
    </w:p>
    <w:p>
      <w:pPr>
        <w:spacing w:line="360" w:lineRule="auto"/>
        <w:ind w:firstLine="640" w:firstLineChars="200"/>
        <w:rPr>
          <w:rFonts w:hint="eastAsia" w:ascii="仿宋" w:hAnsi="仿宋" w:eastAsia="仿宋" w:cs="仿宋"/>
          <w:b w:val="0"/>
          <w:bCs w:val="0"/>
          <w:color w:val="auto"/>
          <w:sz w:val="32"/>
          <w:szCs w:val="32"/>
          <w:lang w:val="en-US" w:eastAsia="zh-CN"/>
        </w:rPr>
      </w:pPr>
    </w:p>
    <w:p>
      <w:pPr>
        <w:spacing w:line="360" w:lineRule="auto"/>
        <w:ind w:firstLine="640" w:firstLineChars="200"/>
        <w:rPr>
          <w:rFonts w:hint="eastAsia" w:ascii="仿宋" w:hAnsi="仿宋" w:eastAsia="仿宋" w:cs="仿宋"/>
          <w:b w:val="0"/>
          <w:bCs w:val="0"/>
          <w:color w:val="auto"/>
          <w:sz w:val="32"/>
          <w:szCs w:val="32"/>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sectPr>
          <w:pgSz w:w="11906" w:h="16838"/>
          <w:pgMar w:top="1440" w:right="1800" w:bottom="1440" w:left="1800" w:header="851" w:footer="992" w:gutter="0"/>
          <w:cols w:space="425" w:num="1"/>
          <w:docGrid w:type="lines" w:linePitch="312" w:charSpace="0"/>
        </w:sectPr>
      </w:pPr>
    </w:p>
    <w:p>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adjustRightInd w:val="0"/>
        <w:snapToGrid w:val="0"/>
        <w:spacing w:line="560" w:lineRule="exact"/>
        <w:ind w:right="62" w:rightChars="26"/>
        <w:jc w:val="center"/>
        <w:rPr>
          <w:rFonts w:ascii="方正小标宋简体" w:hAnsi="Arial" w:eastAsia="方正小标宋简体" w:cs="Arial"/>
          <w:color w:val="000000"/>
          <w:sz w:val="44"/>
          <w:szCs w:val="44"/>
        </w:rPr>
      </w:pPr>
      <w:r>
        <w:rPr>
          <w:rFonts w:hint="eastAsia" w:ascii="方正小标宋简体" w:hAnsi="方正小标宋简体" w:eastAsia="方正小标宋简体" w:cs="方正小标宋简体"/>
          <w:sz w:val="44"/>
          <w:szCs w:val="44"/>
          <w:lang w:eastAsia="zh-CN"/>
        </w:rPr>
        <w:t>云南医药健康职业学院</w:t>
      </w:r>
      <w:r>
        <w:rPr>
          <w:rFonts w:hint="eastAsia" w:ascii="方正小标宋简体" w:hAnsi="方正小标宋简体" w:eastAsia="方正小标宋简体" w:cs="方正小标宋简体"/>
          <w:sz w:val="44"/>
          <w:szCs w:val="44"/>
        </w:rPr>
        <w:t>实验室安全风险点及重点环节台账</w:t>
      </w:r>
    </w:p>
    <w:p>
      <w:pPr>
        <w:adjustRightInd w:val="0"/>
        <w:snapToGrid w:val="0"/>
        <w:ind w:right="2"/>
        <w:jc w:val="center"/>
        <w:rPr>
          <w:rFonts w:hint="eastAsia" w:ascii="仿宋_GB2312" w:eastAsia="仿宋_GB2312"/>
          <w:sz w:val="32"/>
          <w:szCs w:val="32"/>
        </w:rPr>
      </w:pPr>
    </w:p>
    <w:p>
      <w:pPr>
        <w:adjustRightInd w:val="0"/>
        <w:snapToGrid w:val="0"/>
        <w:ind w:right="2"/>
        <w:jc w:val="left"/>
        <w:rPr>
          <w:rFonts w:hint="eastAsia" w:ascii="黑体" w:hAnsi="黑体" w:eastAsia="黑体"/>
          <w:sz w:val="28"/>
          <w:szCs w:val="32"/>
        </w:rPr>
      </w:pPr>
      <w:r>
        <w:rPr>
          <w:rFonts w:hint="eastAsia" w:ascii="黑体" w:hAnsi="黑体" w:eastAsia="黑体"/>
          <w:sz w:val="28"/>
          <w:szCs w:val="32"/>
        </w:rPr>
        <w:t xml:space="preserve">二级单位（盖章）：                          </w:t>
      </w:r>
      <w:r>
        <w:rPr>
          <w:rFonts w:hint="eastAsia" w:ascii="黑体" w:hAnsi="黑体" w:eastAsia="黑体"/>
          <w:sz w:val="28"/>
          <w:szCs w:val="32"/>
          <w:lang w:val="en-US" w:eastAsia="zh-CN"/>
        </w:rPr>
        <w:t xml:space="preserve">                        </w:t>
      </w:r>
      <w:r>
        <w:rPr>
          <w:rFonts w:hint="eastAsia" w:ascii="黑体" w:hAnsi="黑体" w:eastAsia="黑体"/>
          <w:sz w:val="28"/>
          <w:szCs w:val="32"/>
        </w:rPr>
        <w:t xml:space="preserve">实验室负责人（签字）：   </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780"/>
        <w:gridCol w:w="5130"/>
        <w:gridCol w:w="6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noWrap w:val="0"/>
            <w:vAlign w:val="center"/>
          </w:tcPr>
          <w:p>
            <w:pPr>
              <w:adjustRightInd w:val="0"/>
              <w:snapToGrid w:val="0"/>
              <w:ind w:right="2"/>
              <w:jc w:val="cente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实验室名称</w:t>
            </w:r>
          </w:p>
        </w:tc>
        <w:tc>
          <w:tcPr>
            <w:tcW w:w="780" w:type="dxa"/>
            <w:noWrap w:val="0"/>
            <w:vAlign w:val="center"/>
          </w:tcPr>
          <w:p>
            <w:pPr>
              <w:adjustRightInd w:val="0"/>
              <w:snapToGrid w:val="0"/>
              <w:ind w:right="2"/>
              <w:jc w:val="center"/>
              <w:rPr>
                <w:rFonts w:hint="eastAsia" w:ascii="仿宋_GB2312" w:hAnsi="黑体" w:eastAsia="仿宋_GB2312" w:cs="Times New Roman"/>
                <w:sz w:val="28"/>
                <w:szCs w:val="28"/>
                <w:lang w:eastAsia="zh-CN"/>
              </w:rPr>
            </w:pPr>
            <w:r>
              <w:rPr>
                <w:rFonts w:hint="eastAsia" w:ascii="仿宋_GB2312" w:hAnsi="黑体" w:eastAsia="仿宋_GB2312" w:cs="Times New Roman"/>
                <w:sz w:val="28"/>
                <w:szCs w:val="28"/>
                <w:lang w:eastAsia="zh-CN"/>
              </w:rPr>
              <w:t>序号</w:t>
            </w:r>
          </w:p>
        </w:tc>
        <w:tc>
          <w:tcPr>
            <w:tcW w:w="5130" w:type="dxa"/>
            <w:noWrap w:val="0"/>
            <w:vAlign w:val="center"/>
          </w:tcPr>
          <w:p>
            <w:pPr>
              <w:adjustRightInd w:val="0"/>
              <w:snapToGrid w:val="0"/>
              <w:ind w:right="2"/>
              <w:jc w:val="center"/>
              <w:rPr>
                <w:rFonts w:hint="eastAsia" w:ascii="黑体" w:hAnsi="黑体" w:eastAsia="黑体"/>
                <w:sz w:val="28"/>
                <w:szCs w:val="32"/>
                <w:vertAlign w:val="baseline"/>
              </w:rPr>
            </w:pPr>
            <w:r>
              <w:rPr>
                <w:rFonts w:hint="eastAsia" w:ascii="仿宋_GB2312" w:hAnsi="黑体" w:eastAsia="仿宋_GB2312"/>
                <w:sz w:val="28"/>
                <w:szCs w:val="28"/>
              </w:rPr>
              <w:t>风险点及重点环节可能发生的安全隐患描述</w:t>
            </w:r>
          </w:p>
        </w:tc>
        <w:tc>
          <w:tcPr>
            <w:tcW w:w="6074" w:type="dxa"/>
            <w:noWrap w:val="0"/>
            <w:vAlign w:val="center"/>
          </w:tcPr>
          <w:p>
            <w:pPr>
              <w:adjustRightInd w:val="0"/>
              <w:snapToGrid w:val="0"/>
              <w:ind w:right="2"/>
              <w:jc w:val="center"/>
              <w:rPr>
                <w:rFonts w:hint="eastAsia" w:ascii="黑体" w:hAnsi="黑体" w:eastAsia="黑体"/>
                <w:sz w:val="28"/>
                <w:szCs w:val="32"/>
                <w:vertAlign w:val="baseline"/>
              </w:rPr>
            </w:pPr>
            <w:r>
              <w:rPr>
                <w:rFonts w:hint="eastAsia" w:ascii="仿宋_GB2312" w:hAnsi="黑体" w:eastAsia="仿宋_GB2312"/>
                <w:sz w:val="28"/>
                <w:szCs w:val="28"/>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190" w:type="dxa"/>
            <w:vMerge w:val="restart"/>
            <w:noWrap w:val="0"/>
            <w:vAlign w:val="center"/>
          </w:tcPr>
          <w:p>
            <w:pPr>
              <w:adjustRightInd w:val="0"/>
              <w:snapToGrid w:val="0"/>
              <w:ind w:right="2"/>
              <w:jc w:val="center"/>
              <w:rPr>
                <w:rFonts w:hint="eastAsia" w:ascii="黑体" w:hAnsi="黑体" w:eastAsia="黑体"/>
                <w:sz w:val="28"/>
                <w:szCs w:val="32"/>
                <w:vertAlign w:val="baseline"/>
              </w:rPr>
            </w:pPr>
          </w:p>
        </w:tc>
        <w:tc>
          <w:tcPr>
            <w:tcW w:w="780" w:type="dxa"/>
            <w:noWrap w:val="0"/>
            <w:vAlign w:val="center"/>
          </w:tcPr>
          <w:p>
            <w:pPr>
              <w:adjustRightInd w:val="0"/>
              <w:snapToGrid w:val="0"/>
              <w:ind w:right="2"/>
              <w:jc w:val="center"/>
              <w:rPr>
                <w:rFonts w:hint="eastAsia" w:ascii="黑体" w:hAnsi="黑体" w:eastAsia="黑体"/>
                <w:sz w:val="28"/>
                <w:szCs w:val="32"/>
                <w:vertAlign w:val="baseline"/>
                <w:lang w:val="en-US" w:eastAsia="zh-CN"/>
              </w:rPr>
            </w:pPr>
            <w:r>
              <w:rPr>
                <w:rFonts w:hint="eastAsia" w:ascii="黑体" w:hAnsi="黑体" w:eastAsia="黑体"/>
                <w:sz w:val="28"/>
                <w:szCs w:val="32"/>
                <w:vertAlign w:val="baseline"/>
                <w:lang w:val="en-US" w:eastAsia="zh-CN"/>
              </w:rPr>
              <w:t>1</w:t>
            </w:r>
          </w:p>
        </w:tc>
        <w:tc>
          <w:tcPr>
            <w:tcW w:w="5130" w:type="dxa"/>
            <w:noWrap w:val="0"/>
            <w:vAlign w:val="center"/>
          </w:tcPr>
          <w:p>
            <w:pPr>
              <w:adjustRightInd w:val="0"/>
              <w:snapToGrid w:val="0"/>
              <w:ind w:right="2"/>
              <w:jc w:val="center"/>
              <w:rPr>
                <w:rFonts w:hint="eastAsia" w:ascii="黑体" w:hAnsi="黑体" w:eastAsia="黑体"/>
                <w:sz w:val="28"/>
                <w:szCs w:val="32"/>
                <w:vertAlign w:val="baseline"/>
              </w:rPr>
            </w:pPr>
          </w:p>
        </w:tc>
        <w:tc>
          <w:tcPr>
            <w:tcW w:w="6074" w:type="dxa"/>
            <w:noWrap w:val="0"/>
            <w:vAlign w:val="center"/>
          </w:tcPr>
          <w:p>
            <w:pPr>
              <w:adjustRightInd w:val="0"/>
              <w:snapToGrid w:val="0"/>
              <w:ind w:right="2"/>
              <w:jc w:val="center"/>
              <w:rPr>
                <w:rFonts w:hint="eastAsia" w:ascii="黑体" w:hAnsi="黑体" w:eastAsia="黑体"/>
                <w:sz w:val="28"/>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190" w:type="dxa"/>
            <w:vMerge w:val="continue"/>
            <w:noWrap w:val="0"/>
            <w:vAlign w:val="center"/>
          </w:tcPr>
          <w:p>
            <w:pPr>
              <w:adjustRightInd w:val="0"/>
              <w:snapToGrid w:val="0"/>
              <w:ind w:right="2"/>
              <w:jc w:val="center"/>
              <w:rPr>
                <w:rFonts w:hint="eastAsia" w:ascii="黑体" w:hAnsi="黑体" w:eastAsia="黑体"/>
                <w:sz w:val="28"/>
                <w:szCs w:val="32"/>
                <w:vertAlign w:val="baseline"/>
              </w:rPr>
            </w:pPr>
          </w:p>
        </w:tc>
        <w:tc>
          <w:tcPr>
            <w:tcW w:w="780" w:type="dxa"/>
            <w:noWrap w:val="0"/>
            <w:vAlign w:val="center"/>
          </w:tcPr>
          <w:p>
            <w:pPr>
              <w:adjustRightInd w:val="0"/>
              <w:snapToGrid w:val="0"/>
              <w:ind w:right="2"/>
              <w:jc w:val="center"/>
              <w:rPr>
                <w:rFonts w:hint="eastAsia" w:ascii="黑体" w:hAnsi="黑体" w:eastAsia="黑体"/>
                <w:sz w:val="28"/>
                <w:szCs w:val="32"/>
                <w:vertAlign w:val="baseline"/>
                <w:lang w:val="en-US" w:eastAsia="zh-CN"/>
              </w:rPr>
            </w:pPr>
            <w:r>
              <w:rPr>
                <w:rFonts w:hint="eastAsia" w:ascii="黑体" w:hAnsi="黑体" w:eastAsia="黑体"/>
                <w:sz w:val="28"/>
                <w:szCs w:val="32"/>
                <w:vertAlign w:val="baseline"/>
                <w:lang w:val="en-US" w:eastAsia="zh-CN"/>
              </w:rPr>
              <w:t>2</w:t>
            </w:r>
          </w:p>
        </w:tc>
        <w:tc>
          <w:tcPr>
            <w:tcW w:w="5130" w:type="dxa"/>
            <w:noWrap w:val="0"/>
            <w:vAlign w:val="center"/>
          </w:tcPr>
          <w:p>
            <w:pPr>
              <w:adjustRightInd w:val="0"/>
              <w:snapToGrid w:val="0"/>
              <w:ind w:right="2"/>
              <w:jc w:val="center"/>
              <w:rPr>
                <w:rFonts w:hint="eastAsia" w:ascii="黑体" w:hAnsi="黑体" w:eastAsia="黑体"/>
                <w:sz w:val="28"/>
                <w:szCs w:val="32"/>
                <w:vertAlign w:val="baseline"/>
              </w:rPr>
            </w:pPr>
          </w:p>
        </w:tc>
        <w:tc>
          <w:tcPr>
            <w:tcW w:w="6074" w:type="dxa"/>
            <w:noWrap w:val="0"/>
            <w:vAlign w:val="center"/>
          </w:tcPr>
          <w:p>
            <w:pPr>
              <w:adjustRightInd w:val="0"/>
              <w:snapToGrid w:val="0"/>
              <w:ind w:right="2"/>
              <w:jc w:val="center"/>
              <w:rPr>
                <w:rFonts w:hint="eastAsia" w:ascii="黑体" w:hAnsi="黑体" w:eastAsia="黑体"/>
                <w:sz w:val="28"/>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190" w:type="dxa"/>
            <w:vMerge w:val="restart"/>
            <w:noWrap w:val="0"/>
            <w:vAlign w:val="center"/>
          </w:tcPr>
          <w:p>
            <w:pPr>
              <w:adjustRightInd w:val="0"/>
              <w:snapToGrid w:val="0"/>
              <w:ind w:right="2"/>
              <w:jc w:val="center"/>
              <w:rPr>
                <w:rFonts w:hint="eastAsia" w:ascii="黑体" w:hAnsi="黑体" w:eastAsia="黑体"/>
                <w:sz w:val="28"/>
                <w:szCs w:val="32"/>
                <w:vertAlign w:val="baseline"/>
              </w:rPr>
            </w:pPr>
          </w:p>
        </w:tc>
        <w:tc>
          <w:tcPr>
            <w:tcW w:w="780" w:type="dxa"/>
            <w:noWrap w:val="0"/>
            <w:vAlign w:val="center"/>
          </w:tcPr>
          <w:p>
            <w:pPr>
              <w:adjustRightInd w:val="0"/>
              <w:snapToGrid w:val="0"/>
              <w:ind w:right="2"/>
              <w:jc w:val="center"/>
              <w:rPr>
                <w:rFonts w:hint="eastAsia" w:ascii="黑体" w:hAnsi="黑体" w:eastAsia="黑体"/>
                <w:sz w:val="28"/>
                <w:szCs w:val="32"/>
                <w:vertAlign w:val="baseline"/>
                <w:lang w:val="en-US" w:eastAsia="zh-CN"/>
              </w:rPr>
            </w:pPr>
            <w:r>
              <w:rPr>
                <w:rFonts w:hint="eastAsia" w:ascii="黑体" w:hAnsi="黑体" w:eastAsia="黑体"/>
                <w:sz w:val="28"/>
                <w:szCs w:val="32"/>
                <w:vertAlign w:val="baseline"/>
                <w:lang w:val="en-US" w:eastAsia="zh-CN"/>
              </w:rPr>
              <w:t>1</w:t>
            </w:r>
          </w:p>
        </w:tc>
        <w:tc>
          <w:tcPr>
            <w:tcW w:w="5130" w:type="dxa"/>
            <w:noWrap w:val="0"/>
            <w:vAlign w:val="center"/>
          </w:tcPr>
          <w:p>
            <w:pPr>
              <w:adjustRightInd w:val="0"/>
              <w:snapToGrid w:val="0"/>
              <w:ind w:right="2"/>
              <w:jc w:val="center"/>
              <w:rPr>
                <w:rFonts w:hint="eastAsia" w:ascii="黑体" w:hAnsi="黑体" w:eastAsia="黑体"/>
                <w:sz w:val="28"/>
                <w:szCs w:val="32"/>
                <w:vertAlign w:val="baseline"/>
              </w:rPr>
            </w:pPr>
          </w:p>
        </w:tc>
        <w:tc>
          <w:tcPr>
            <w:tcW w:w="6074" w:type="dxa"/>
            <w:noWrap w:val="0"/>
            <w:vAlign w:val="center"/>
          </w:tcPr>
          <w:p>
            <w:pPr>
              <w:adjustRightInd w:val="0"/>
              <w:snapToGrid w:val="0"/>
              <w:ind w:right="2"/>
              <w:jc w:val="center"/>
              <w:rPr>
                <w:rFonts w:hint="eastAsia" w:ascii="黑体" w:hAnsi="黑体" w:eastAsia="黑体"/>
                <w:sz w:val="28"/>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190" w:type="dxa"/>
            <w:vMerge w:val="continue"/>
            <w:noWrap w:val="0"/>
            <w:vAlign w:val="center"/>
          </w:tcPr>
          <w:p>
            <w:pPr>
              <w:adjustRightInd w:val="0"/>
              <w:snapToGrid w:val="0"/>
              <w:ind w:right="2"/>
              <w:jc w:val="center"/>
              <w:rPr>
                <w:rFonts w:hint="eastAsia" w:ascii="黑体" w:hAnsi="黑体" w:eastAsia="黑体"/>
                <w:sz w:val="28"/>
                <w:szCs w:val="32"/>
                <w:vertAlign w:val="baseline"/>
              </w:rPr>
            </w:pPr>
          </w:p>
        </w:tc>
        <w:tc>
          <w:tcPr>
            <w:tcW w:w="780" w:type="dxa"/>
            <w:noWrap w:val="0"/>
            <w:vAlign w:val="center"/>
          </w:tcPr>
          <w:p>
            <w:pPr>
              <w:adjustRightInd w:val="0"/>
              <w:snapToGrid w:val="0"/>
              <w:ind w:right="2"/>
              <w:jc w:val="center"/>
              <w:rPr>
                <w:rFonts w:hint="eastAsia" w:ascii="黑体" w:hAnsi="黑体" w:eastAsia="黑体"/>
                <w:sz w:val="28"/>
                <w:szCs w:val="32"/>
                <w:vertAlign w:val="baseline"/>
                <w:lang w:val="en-US" w:eastAsia="zh-CN"/>
              </w:rPr>
            </w:pPr>
            <w:r>
              <w:rPr>
                <w:rFonts w:hint="eastAsia" w:ascii="黑体" w:hAnsi="黑体" w:eastAsia="黑体"/>
                <w:sz w:val="28"/>
                <w:szCs w:val="32"/>
                <w:vertAlign w:val="baseline"/>
                <w:lang w:val="en-US" w:eastAsia="zh-CN"/>
              </w:rPr>
              <w:t>2</w:t>
            </w:r>
          </w:p>
        </w:tc>
        <w:tc>
          <w:tcPr>
            <w:tcW w:w="5130" w:type="dxa"/>
            <w:noWrap w:val="0"/>
            <w:vAlign w:val="center"/>
          </w:tcPr>
          <w:p>
            <w:pPr>
              <w:adjustRightInd w:val="0"/>
              <w:snapToGrid w:val="0"/>
              <w:ind w:right="2"/>
              <w:jc w:val="center"/>
              <w:rPr>
                <w:rFonts w:hint="eastAsia" w:ascii="黑体" w:hAnsi="黑体" w:eastAsia="黑体"/>
                <w:sz w:val="28"/>
                <w:szCs w:val="32"/>
                <w:vertAlign w:val="baseline"/>
              </w:rPr>
            </w:pPr>
          </w:p>
        </w:tc>
        <w:tc>
          <w:tcPr>
            <w:tcW w:w="6074" w:type="dxa"/>
            <w:noWrap w:val="0"/>
            <w:vAlign w:val="center"/>
          </w:tcPr>
          <w:p>
            <w:pPr>
              <w:adjustRightInd w:val="0"/>
              <w:snapToGrid w:val="0"/>
              <w:ind w:right="2"/>
              <w:jc w:val="center"/>
              <w:rPr>
                <w:rFonts w:hint="eastAsia" w:ascii="黑体" w:hAnsi="黑体" w:eastAsia="黑体"/>
                <w:sz w:val="28"/>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190" w:type="dxa"/>
            <w:vMerge w:val="continue"/>
            <w:noWrap w:val="0"/>
            <w:vAlign w:val="center"/>
          </w:tcPr>
          <w:p>
            <w:pPr>
              <w:adjustRightInd w:val="0"/>
              <w:snapToGrid w:val="0"/>
              <w:ind w:right="2"/>
              <w:jc w:val="center"/>
              <w:rPr>
                <w:rFonts w:hint="eastAsia" w:ascii="黑体" w:hAnsi="黑体" w:eastAsia="黑体"/>
                <w:sz w:val="28"/>
                <w:szCs w:val="32"/>
                <w:vertAlign w:val="baseline"/>
              </w:rPr>
            </w:pPr>
          </w:p>
        </w:tc>
        <w:tc>
          <w:tcPr>
            <w:tcW w:w="780" w:type="dxa"/>
            <w:noWrap w:val="0"/>
            <w:vAlign w:val="center"/>
          </w:tcPr>
          <w:p>
            <w:pPr>
              <w:adjustRightInd w:val="0"/>
              <w:snapToGrid w:val="0"/>
              <w:ind w:right="2"/>
              <w:jc w:val="center"/>
              <w:rPr>
                <w:rFonts w:hint="eastAsia" w:ascii="黑体" w:hAnsi="黑体" w:eastAsia="黑体"/>
                <w:sz w:val="28"/>
                <w:szCs w:val="32"/>
                <w:vertAlign w:val="baseline"/>
                <w:lang w:val="en-US" w:eastAsia="zh-CN"/>
              </w:rPr>
            </w:pPr>
            <w:r>
              <w:rPr>
                <w:rFonts w:hint="eastAsia" w:ascii="黑体" w:hAnsi="黑体" w:eastAsia="黑体"/>
                <w:sz w:val="28"/>
                <w:szCs w:val="32"/>
                <w:vertAlign w:val="baseline"/>
                <w:lang w:val="en-US" w:eastAsia="zh-CN"/>
              </w:rPr>
              <w:t>3</w:t>
            </w:r>
          </w:p>
        </w:tc>
        <w:tc>
          <w:tcPr>
            <w:tcW w:w="5130" w:type="dxa"/>
            <w:noWrap w:val="0"/>
            <w:vAlign w:val="center"/>
          </w:tcPr>
          <w:p>
            <w:pPr>
              <w:adjustRightInd w:val="0"/>
              <w:snapToGrid w:val="0"/>
              <w:ind w:right="2"/>
              <w:jc w:val="center"/>
              <w:rPr>
                <w:rFonts w:hint="eastAsia" w:ascii="黑体" w:hAnsi="黑体" w:eastAsia="黑体"/>
                <w:sz w:val="28"/>
                <w:szCs w:val="32"/>
                <w:vertAlign w:val="baseline"/>
              </w:rPr>
            </w:pPr>
          </w:p>
        </w:tc>
        <w:tc>
          <w:tcPr>
            <w:tcW w:w="6074" w:type="dxa"/>
            <w:noWrap w:val="0"/>
            <w:vAlign w:val="center"/>
          </w:tcPr>
          <w:p>
            <w:pPr>
              <w:adjustRightInd w:val="0"/>
              <w:snapToGrid w:val="0"/>
              <w:ind w:right="2"/>
              <w:jc w:val="center"/>
              <w:rPr>
                <w:rFonts w:hint="eastAsia" w:ascii="黑体" w:hAnsi="黑体" w:eastAsia="黑体"/>
                <w:sz w:val="28"/>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90" w:type="dxa"/>
            <w:noWrap w:val="0"/>
            <w:vAlign w:val="center"/>
          </w:tcPr>
          <w:p>
            <w:pPr>
              <w:adjustRightInd w:val="0"/>
              <w:snapToGrid w:val="0"/>
              <w:ind w:right="2"/>
              <w:jc w:val="center"/>
              <w:rPr>
                <w:rFonts w:hint="eastAsia" w:ascii="黑体" w:hAnsi="黑体" w:eastAsia="黑体"/>
                <w:sz w:val="28"/>
                <w:szCs w:val="32"/>
                <w:vertAlign w:val="baseline"/>
              </w:rPr>
            </w:pPr>
          </w:p>
        </w:tc>
        <w:tc>
          <w:tcPr>
            <w:tcW w:w="780" w:type="dxa"/>
            <w:noWrap w:val="0"/>
            <w:vAlign w:val="center"/>
          </w:tcPr>
          <w:p>
            <w:pPr>
              <w:adjustRightInd w:val="0"/>
              <w:snapToGrid w:val="0"/>
              <w:ind w:right="2"/>
              <w:jc w:val="center"/>
              <w:rPr>
                <w:rFonts w:hint="default" w:ascii="黑体" w:hAnsi="黑体" w:eastAsia="黑体"/>
                <w:sz w:val="28"/>
                <w:szCs w:val="32"/>
                <w:vertAlign w:val="baseline"/>
                <w:lang w:val="en-US" w:eastAsia="zh-CN"/>
              </w:rPr>
            </w:pPr>
            <w:r>
              <w:rPr>
                <w:rFonts w:hint="eastAsia" w:ascii="黑体" w:hAnsi="黑体" w:eastAsia="黑体"/>
                <w:sz w:val="28"/>
                <w:szCs w:val="32"/>
                <w:vertAlign w:val="baseline"/>
                <w:lang w:val="en-US" w:eastAsia="zh-CN"/>
              </w:rPr>
              <w:t>1</w:t>
            </w:r>
          </w:p>
        </w:tc>
        <w:tc>
          <w:tcPr>
            <w:tcW w:w="5130" w:type="dxa"/>
            <w:noWrap w:val="0"/>
            <w:vAlign w:val="center"/>
          </w:tcPr>
          <w:p>
            <w:pPr>
              <w:adjustRightInd w:val="0"/>
              <w:snapToGrid w:val="0"/>
              <w:ind w:right="2"/>
              <w:jc w:val="center"/>
              <w:rPr>
                <w:rFonts w:hint="eastAsia" w:ascii="黑体" w:hAnsi="黑体" w:eastAsia="黑体"/>
                <w:sz w:val="28"/>
                <w:szCs w:val="32"/>
                <w:vertAlign w:val="baseline"/>
              </w:rPr>
            </w:pPr>
          </w:p>
        </w:tc>
        <w:tc>
          <w:tcPr>
            <w:tcW w:w="6074" w:type="dxa"/>
            <w:noWrap w:val="0"/>
            <w:vAlign w:val="center"/>
          </w:tcPr>
          <w:p>
            <w:pPr>
              <w:adjustRightInd w:val="0"/>
              <w:snapToGrid w:val="0"/>
              <w:ind w:right="2"/>
              <w:jc w:val="center"/>
              <w:rPr>
                <w:rFonts w:hint="eastAsia" w:ascii="黑体" w:hAnsi="黑体" w:eastAsia="黑体"/>
                <w:sz w:val="28"/>
                <w:szCs w:val="32"/>
                <w:vertAlign w:val="baseline"/>
              </w:rPr>
            </w:pPr>
          </w:p>
        </w:tc>
      </w:tr>
    </w:tbl>
    <w:p>
      <w:pPr>
        <w:adjustRightInd w:val="0"/>
        <w:snapToGrid w:val="0"/>
        <w:ind w:right="2"/>
        <w:jc w:val="left"/>
        <w:rPr>
          <w:rFonts w:hint="eastAsia" w:ascii="黑体" w:hAnsi="黑体" w:eastAsia="黑体"/>
          <w:sz w:val="28"/>
          <w:szCs w:val="32"/>
        </w:rPr>
      </w:pPr>
      <w:r>
        <w:rPr>
          <w:rFonts w:hint="eastAsia" w:ascii="黑体" w:hAnsi="黑体" w:eastAsia="黑体"/>
          <w:sz w:val="28"/>
          <w:szCs w:val="32"/>
        </w:rPr>
        <w:t xml:space="preserve">     </w:t>
      </w:r>
    </w:p>
    <w:p>
      <w:pPr>
        <w:rPr>
          <w:rFonts w:hint="eastAsia" w:ascii="仿宋" w:hAnsi="仿宋" w:eastAsia="仿宋" w:cs="仿宋"/>
          <w:sz w:val="28"/>
          <w:szCs w:val="28"/>
          <w:lang w:val="en-US" w:eastAsia="zh-CN"/>
        </w:rPr>
      </w:pPr>
      <w:r>
        <w:rPr>
          <w:rFonts w:hint="eastAsia"/>
          <w:sz w:val="22"/>
        </w:rPr>
        <w:t>备注：</w:t>
      </w:r>
      <w:r>
        <w:rPr>
          <w:rFonts w:hint="eastAsia"/>
          <w:sz w:val="22"/>
          <w:lang w:val="en-US" w:eastAsia="zh-CN"/>
        </w:rPr>
        <w:t>1</w:t>
      </w:r>
      <w:r>
        <w:rPr>
          <w:rFonts w:hint="eastAsia"/>
          <w:sz w:val="22"/>
        </w:rPr>
        <w:t>.风险点及重点环节是指可能造成实验室安全事故的危险因素，如使用易燃易爆化学品、致病性微生物、辐射设备、高压气体、有毒试剂等；控制措施指针对风险点而采取的有效防控措施，包括制度、操作规程等</w:t>
      </w:r>
      <w:r>
        <w:rPr>
          <w:rFonts w:hint="eastAsia"/>
          <w:sz w:val="22"/>
          <w:lang w:eastAsia="zh-CN"/>
        </w:rPr>
        <w:t>；</w:t>
      </w:r>
      <w:r>
        <w:rPr>
          <w:rFonts w:hint="eastAsia"/>
        </w:rPr>
        <w:t>必要时，应在此基础上增加涉及微生物、化学、消防和治安方面安全隐患的种类</w:t>
      </w:r>
      <w:r>
        <w:rPr>
          <w:rFonts w:hint="eastAsia"/>
          <w:lang w:eastAsia="zh-CN"/>
        </w:rPr>
        <w:t>。</w:t>
      </w:r>
      <w:r>
        <w:rPr>
          <w:rFonts w:hint="eastAsia"/>
          <w:sz w:val="22"/>
        </w:rPr>
        <w:t>风险点及防控措施要一一对应，每个实验室可自行添加多个风险点。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43B94"/>
    <w:rsid w:val="07102E5B"/>
    <w:rsid w:val="07DB483C"/>
    <w:rsid w:val="0FC26C68"/>
    <w:rsid w:val="1E203E19"/>
    <w:rsid w:val="212A71B7"/>
    <w:rsid w:val="26F1729E"/>
    <w:rsid w:val="329B2EF1"/>
    <w:rsid w:val="3FFF2505"/>
    <w:rsid w:val="4AEE0EFA"/>
    <w:rsid w:val="4FDE7BC8"/>
    <w:rsid w:val="525FE664"/>
    <w:rsid w:val="59767149"/>
    <w:rsid w:val="5F8F9E98"/>
    <w:rsid w:val="647A3D82"/>
    <w:rsid w:val="6DC26AA3"/>
    <w:rsid w:val="6FF63A25"/>
    <w:rsid w:val="703B4031"/>
    <w:rsid w:val="7CC471E2"/>
    <w:rsid w:val="7CF3064D"/>
    <w:rsid w:val="7FC43B94"/>
    <w:rsid w:val="D3EF649A"/>
    <w:rsid w:val="FBF9F6E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2022-01-05T14:30:00Z</dcterms:created>
  <dc:creator>田晓野 </dc:creator>
  <cp:lastModifiedBy>Administrator</cp:lastModifiedBy>
  <dcterms:modified xsi:type="dcterms:W3CDTF">2022-03-17T07:28:24Z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4C979BC43B9B4697B9297E8DADA02EF4</vt:lpwstr>
  </property>
</Properties>
</file>