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63CA4">
      <w:pPr>
        <w:spacing w:line="360" w:lineRule="auto"/>
        <w:jc w:val="center"/>
        <w:rPr>
          <w:rFonts w:hint="eastAsia" w:cs="宋体" w:asciiTheme="minorEastAsia" w:hAnsiTheme="minorEastAsia" w:eastAsiaTheme="minorEastAsia"/>
          <w:b/>
          <w:bCs/>
          <w:color w:val="auto"/>
          <w:sz w:val="28"/>
          <w:szCs w:val="28"/>
          <w:lang w:val="en-US" w:eastAsia="zh-CN"/>
        </w:rPr>
      </w:pPr>
      <w:r>
        <w:rPr>
          <w:rFonts w:hint="eastAsia" w:cs="宋体" w:asciiTheme="minorEastAsia" w:hAnsiTheme="minorEastAsia" w:eastAsiaTheme="minorEastAsia"/>
          <w:b/>
          <w:bCs/>
          <w:color w:val="auto"/>
          <w:sz w:val="28"/>
          <w:szCs w:val="28"/>
          <w:lang w:val="en-US" w:eastAsia="zh-CN"/>
        </w:rPr>
        <w:t>云南医药健康职业学院临床血液学检验实训室</w:t>
      </w:r>
    </w:p>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采购</w:t>
      </w:r>
      <w:r>
        <w:rPr>
          <w:rFonts w:hint="eastAsia" w:cs="宋体" w:asciiTheme="minorEastAsia" w:hAnsiTheme="minorEastAsia" w:eastAsiaTheme="minorEastAsia"/>
          <w:b/>
          <w:bCs/>
          <w:color w:val="auto"/>
          <w:sz w:val="28"/>
          <w:szCs w:val="28"/>
        </w:rPr>
        <w:t>竞争性谈判文件</w:t>
      </w:r>
    </w:p>
    <w:p w14:paraId="7086A36F">
      <w:pPr>
        <w:spacing w:after="0" w:line="460" w:lineRule="exact"/>
        <w:ind w:firstLine="420"/>
        <w:rPr>
          <w:rFonts w:cs="宋体" w:asciiTheme="minorEastAsia" w:hAnsiTheme="minorEastAsia" w:eastAsiaTheme="minorEastAsia"/>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160D738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bookmarkStart w:id="0" w:name="_GoBack"/>
      <w:bookmarkEnd w:id="0"/>
    </w:p>
    <w:tbl>
      <w:tblPr>
        <w:tblStyle w:val="10"/>
        <w:tblpPr w:leftFromText="180" w:rightFromText="180" w:vertAnchor="text" w:horzAnchor="page" w:tblpX="1379" w:tblpY="453"/>
        <w:tblOverlap w:val="never"/>
        <w:tblW w:w="48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18"/>
        <w:gridCol w:w="4248"/>
        <w:gridCol w:w="587"/>
        <w:gridCol w:w="730"/>
        <w:gridCol w:w="887"/>
        <w:gridCol w:w="857"/>
      </w:tblGrid>
      <w:tr w14:paraId="2B05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6BDB6BC9">
            <w:pPr>
              <w:keepNext w:val="0"/>
              <w:keepLines w:val="0"/>
              <w:pageBreakBefore w:val="0"/>
              <w:kinsoku/>
              <w:overflowPunct/>
              <w:topLinePunct w:val="0"/>
              <w:autoSpaceDE/>
              <w:autoSpaceDN/>
              <w:bidi w:val="0"/>
              <w:adjustRightInd/>
              <w:snapToGrid/>
              <w:spacing w:line="336" w:lineRule="auto"/>
              <w:jc w:val="center"/>
              <w:textAlignment w:val="auto"/>
              <w:rPr>
                <w:rFonts w:cs="宋体" w:asciiTheme="minorEastAsia" w:hAnsiTheme="minorEastAsia" w:eastAsiaTheme="minorEastAsia"/>
                <w:color w:val="auto"/>
                <w:u w:color="222222"/>
                <w:shd w:val="clear" w:color="auto" w:fill="FFFFFF"/>
                <w:lang w:val="zh-TW" w:eastAsia="zh-TW"/>
              </w:rPr>
            </w:pPr>
            <w:r>
              <w:rPr>
                <w:rFonts w:hint="eastAsia" w:cs="宋体" w:asciiTheme="minorEastAsia" w:hAnsiTheme="minorEastAsia" w:eastAsiaTheme="minorEastAsia"/>
                <w:color w:val="auto"/>
                <w:u w:color="222222"/>
                <w:shd w:val="clear" w:color="auto" w:fill="FFFFFF"/>
                <w:lang w:val="zh-TW" w:eastAsia="zh-TW"/>
              </w:rPr>
              <w:t>序号</w:t>
            </w:r>
          </w:p>
        </w:tc>
        <w:tc>
          <w:tcPr>
            <w:tcW w:w="754" w:type="pct"/>
            <w:noWrap/>
            <w:vAlign w:val="center"/>
          </w:tcPr>
          <w:p w14:paraId="180B3E70">
            <w:pPr>
              <w:keepNext w:val="0"/>
              <w:keepLines w:val="0"/>
              <w:pageBreakBefore w:val="0"/>
              <w:kinsoku/>
              <w:overflowPunct/>
              <w:topLinePunct w:val="0"/>
              <w:autoSpaceDE/>
              <w:autoSpaceDN/>
              <w:bidi w:val="0"/>
              <w:adjustRightInd/>
              <w:snapToGrid/>
              <w:spacing w:line="336" w:lineRule="auto"/>
              <w:jc w:val="center"/>
              <w:textAlignment w:val="auto"/>
              <w:rPr>
                <w:rFonts w:cs="宋体" w:asciiTheme="minorEastAsia" w:hAnsiTheme="minorEastAsia" w:eastAsiaTheme="minorEastAsia"/>
                <w:color w:val="auto"/>
                <w:u w:color="222222"/>
                <w:shd w:val="clear" w:color="auto" w:fill="FFFFFF"/>
                <w:lang w:val="zh-TW" w:eastAsia="zh-TW"/>
              </w:rPr>
            </w:pPr>
            <w:r>
              <w:rPr>
                <w:rFonts w:hint="eastAsia" w:cs="宋体" w:asciiTheme="minorEastAsia" w:hAnsiTheme="minorEastAsia" w:eastAsiaTheme="minorEastAsia"/>
                <w:color w:val="auto"/>
                <w:u w:color="222222"/>
                <w:shd w:val="clear" w:color="auto" w:fill="FFFFFF"/>
                <w:lang w:val="en-US" w:eastAsia="zh-CN"/>
              </w:rPr>
              <w:t>项目</w:t>
            </w:r>
            <w:r>
              <w:rPr>
                <w:rFonts w:hint="eastAsia" w:cs="宋体" w:asciiTheme="minorEastAsia" w:hAnsiTheme="minorEastAsia" w:eastAsiaTheme="minorEastAsia"/>
                <w:color w:val="auto"/>
                <w:u w:color="222222"/>
                <w:shd w:val="clear" w:color="auto" w:fill="FFFFFF"/>
                <w:lang w:val="zh-TW" w:eastAsia="zh-TW"/>
              </w:rPr>
              <w:t>名称</w:t>
            </w:r>
          </w:p>
        </w:tc>
        <w:tc>
          <w:tcPr>
            <w:tcW w:w="2260" w:type="pct"/>
            <w:noWrap/>
            <w:vAlign w:val="center"/>
          </w:tcPr>
          <w:p w14:paraId="37DA6BE8">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参考</w:t>
            </w:r>
            <w:r>
              <w:rPr>
                <w:rFonts w:hint="default" w:cs="宋体" w:asciiTheme="minorEastAsia" w:hAnsiTheme="minorEastAsia" w:eastAsiaTheme="minorEastAsia"/>
                <w:color w:val="auto"/>
                <w:u w:color="222222"/>
                <w:shd w:val="clear" w:color="auto" w:fill="FFFFFF"/>
                <w:lang w:val="en-US" w:eastAsia="zh-CN"/>
              </w:rPr>
              <w:t>参数及规格要求</w:t>
            </w:r>
          </w:p>
        </w:tc>
        <w:tc>
          <w:tcPr>
            <w:tcW w:w="312" w:type="pct"/>
            <w:noWrap/>
            <w:vAlign w:val="center"/>
          </w:tcPr>
          <w:p w14:paraId="122C0A22">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数量</w:t>
            </w:r>
          </w:p>
        </w:tc>
        <w:tc>
          <w:tcPr>
            <w:tcW w:w="388" w:type="pct"/>
            <w:noWrap/>
            <w:vAlign w:val="center"/>
          </w:tcPr>
          <w:p w14:paraId="52388578">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单位</w:t>
            </w:r>
          </w:p>
        </w:tc>
        <w:tc>
          <w:tcPr>
            <w:tcW w:w="471" w:type="pct"/>
            <w:noWrap/>
            <w:vAlign w:val="center"/>
          </w:tcPr>
          <w:p w14:paraId="7675E7FD">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单价（元）</w:t>
            </w:r>
          </w:p>
        </w:tc>
        <w:tc>
          <w:tcPr>
            <w:tcW w:w="455" w:type="pct"/>
            <w:noWrap/>
            <w:vAlign w:val="center"/>
          </w:tcPr>
          <w:p w14:paraId="788038C5">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总计（元）</w:t>
            </w:r>
          </w:p>
        </w:tc>
      </w:tr>
      <w:tr w14:paraId="040C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69D4F4F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754" w:type="pct"/>
            <w:shd w:val="clear" w:color="auto" w:fill="auto"/>
            <w:noWrap/>
            <w:vAlign w:val="center"/>
          </w:tcPr>
          <w:p w14:paraId="6463D96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color="000000"/>
                <w:lang w:val="en-US" w:eastAsia="zh-CN" w:bidi="ar-SA"/>
              </w:rPr>
            </w:pPr>
            <w:r>
              <w:rPr>
                <w:rFonts w:hint="eastAsia" w:ascii="仿宋" w:hAnsi="仿宋" w:eastAsia="仿宋" w:cs="仿宋"/>
                <w:color w:val="auto"/>
                <w:sz w:val="20"/>
                <w:szCs w:val="20"/>
                <w:lang w:val="en-US" w:eastAsia="zh-CN"/>
              </w:rPr>
              <w:t>双目显微镜（教师用）</w:t>
            </w:r>
          </w:p>
        </w:tc>
        <w:tc>
          <w:tcPr>
            <w:tcW w:w="2260" w:type="pct"/>
            <w:vAlign w:val="center"/>
          </w:tcPr>
          <w:p w14:paraId="5FED8541">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双目显微镜（教师用）+带显微互动+带电脑</w:t>
            </w:r>
          </w:p>
          <w:p w14:paraId="74BE05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1、无限远光学系统，齐焦距离≥60mm</w:t>
            </w:r>
          </w:p>
          <w:p w14:paraId="4BD38DE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2.目镜筒：铰链式双目筒30°倾斜。铰链部分可360°旋转；双目瞳距：50mm-75mm。内置数码成像系统≥2000万像素，芯片4/3英寸，可观察整体视野图像。</w:t>
            </w:r>
          </w:p>
          <w:p w14:paraId="32E5603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3.目镜：10×，视场数F.N.20（防霉处理），高眼点、双目视度可调，目镜可锁定。</w:t>
            </w:r>
          </w:p>
          <w:p w14:paraId="4924FF1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4.转换器：内倾式反向五孔编码物镜转换器。</w:t>
            </w:r>
          </w:p>
          <w:p w14:paraId="53F8105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5.调焦机构：粗/微调同轴调节，交叉滚轮导轨，可单手调焦，移动载物台</w:t>
            </w:r>
            <w:r>
              <w:rPr>
                <w:rFonts w:hint="eastAsia" w:ascii="仿宋" w:hAnsi="仿宋" w:eastAsia="仿宋" w:cs="仿宋"/>
                <w:color w:val="auto"/>
                <w:sz w:val="20"/>
                <w:szCs w:val="20"/>
                <w:lang w:val="en-US" w:eastAsia="zh-CN"/>
              </w:rPr>
              <w:t>。</w:t>
            </w:r>
          </w:p>
          <w:p w14:paraId="390EBA7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6.载物台：成像后高度≤135mm,低手位操作，行程≥76(X)x52(Y)（提供产品实物截图证明）。</w:t>
            </w:r>
          </w:p>
          <w:p w14:paraId="7E0BC99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7.高级长工作距离高数值孔径物镜：</w:t>
            </w:r>
          </w:p>
          <w:p w14:paraId="01FA76C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Plan 4X（N.A≥0.10，W.D. ≥30mm），</w:t>
            </w:r>
          </w:p>
          <w:p w14:paraId="01CBD41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Plan 10X（N.A≥0.25，W.D.≥ 7mm），</w:t>
            </w:r>
          </w:p>
          <w:p w14:paraId="3FFE0DA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Plan 40X（N.A≥0.65，W.D. ≥0.65mm），</w:t>
            </w:r>
          </w:p>
          <w:p w14:paraId="2BF4B67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Plan 100X（油镜）（N.A≥1.25，W.D.≥ 0.23mm）。</w:t>
            </w:r>
          </w:p>
          <w:p w14:paraId="0E528A4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8.上限位机构：上限可以被定位在两种及以上高度位置。</w:t>
            </w:r>
          </w:p>
          <w:p w14:paraId="16A451E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9.阿贝聚光器：数值孔径：1.25，孔径光阑大小的标记位按对应物镜的倍率进行刻度标记。</w:t>
            </w:r>
          </w:p>
          <w:p w14:paraId="5518807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10.光源：高亮度白色LED光源，内置复眼透镜，带有待机模式开关（提供产品实物截图证明）。</w:t>
            </w:r>
          </w:p>
          <w:p w14:paraId="30EAF87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11</w:t>
            </w:r>
            <w:r>
              <w:rPr>
                <w:rFonts w:hint="default" w:ascii="仿宋" w:hAnsi="仿宋" w:eastAsia="仿宋" w:cs="仿宋"/>
                <w:color w:val="auto"/>
                <w:sz w:val="20"/>
                <w:szCs w:val="20"/>
                <w:lang w:val="en-US" w:eastAsia="zh-CN"/>
              </w:rPr>
              <w:t>.工作站：处理器：i5及以上；显卡：独显≥4G ；内存：≥16G 不少于2个内存槽）；固态硬盘：≥512G ；无线蓝牙：无线网卡+蓝牙5.0</w:t>
            </w:r>
            <w:r>
              <w:rPr>
                <w:rFonts w:hint="eastAsia" w:ascii="仿宋" w:hAnsi="仿宋" w:eastAsia="仿宋" w:cs="仿宋"/>
                <w:color w:val="auto"/>
                <w:sz w:val="20"/>
                <w:szCs w:val="20"/>
                <w:lang w:val="en-US" w:eastAsia="zh-CN"/>
              </w:rPr>
              <w:t xml:space="preserve"> </w:t>
            </w:r>
          </w:p>
        </w:tc>
        <w:tc>
          <w:tcPr>
            <w:tcW w:w="312" w:type="pct"/>
            <w:vAlign w:val="center"/>
          </w:tcPr>
          <w:p w14:paraId="5A41B54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388" w:type="pct"/>
            <w:vAlign w:val="center"/>
          </w:tcPr>
          <w:p w14:paraId="4351ED3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471" w:type="pct"/>
            <w:vAlign w:val="center"/>
          </w:tcPr>
          <w:p w14:paraId="4F5C2EF1">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455" w:type="pct"/>
            <w:vAlign w:val="center"/>
          </w:tcPr>
          <w:p w14:paraId="04196595">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4AF3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6CB8832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w:t>
            </w:r>
          </w:p>
        </w:tc>
        <w:tc>
          <w:tcPr>
            <w:tcW w:w="754" w:type="pct"/>
            <w:noWrap/>
            <w:vAlign w:val="center"/>
          </w:tcPr>
          <w:p w14:paraId="192EFEFD">
            <w:pPr>
              <w:keepNext w:val="0"/>
              <w:keepLines w:val="0"/>
              <w:pageBreakBefore w:val="0"/>
              <w:widowControl w:val="0"/>
              <w:tabs>
                <w:tab w:val="left" w:pos="510"/>
              </w:tabs>
              <w:kinsoku/>
              <w:wordWrap/>
              <w:overflowPunct/>
              <w:topLinePunct w:val="0"/>
              <w:autoSpaceDE/>
              <w:autoSpaceDN/>
              <w:bidi w:val="0"/>
              <w:adjustRightInd/>
              <w:snapToGrid/>
              <w:spacing w:line="336" w:lineRule="auto"/>
              <w:jc w:val="left"/>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双目显微镜（学生用）</w:t>
            </w:r>
          </w:p>
        </w:tc>
        <w:tc>
          <w:tcPr>
            <w:tcW w:w="2260" w:type="pct"/>
            <w:vAlign w:val="center"/>
          </w:tcPr>
          <w:p w14:paraId="51D9294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双目显微镜（学生用）带显微互动</w:t>
            </w:r>
          </w:p>
          <w:p w14:paraId="4CFB6AA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1、无限远光学系统，放大倍数40X-1000X。</w:t>
            </w:r>
          </w:p>
          <w:p w14:paraId="0635BFA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2、大视场高眼点目镜10X/20mm ，双视度可调±5。</w:t>
            </w:r>
          </w:p>
          <w:p w14:paraId="27AA442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3、观察筒:铰链式，360°旋转，双目瞳距：50~75 mm。</w:t>
            </w:r>
          </w:p>
          <w:p w14:paraId="75EDE44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4、无限远平场消色物镜：4X/0.1，10X/0.25， 40X/0.65， 100X/1.25（油）。</w:t>
            </w:r>
          </w:p>
          <w:p w14:paraId="1749BCC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5、物镜编码转换器：高精度四孔位，内置亮度记忆模块，物镜转换时，亮度自动调节，减少视觉疲劳。</w:t>
            </w:r>
          </w:p>
          <w:p w14:paraId="2C219A8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6、调焦系统：粗微动同轴调焦，粗调张力可调节，带上限位锁定功能；微动0.002mm/格，0.2mm/圈；粗动37.7mm/圈。</w:t>
            </w:r>
          </w:p>
          <w:p w14:paraId="49E4A59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7、载物台：同步带平台（右手），载物台左右侧无凸起，面积：180×130 mm，行程为78mm×30mm。</w:t>
            </w:r>
          </w:p>
          <w:p w14:paraId="0F84B6B1">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8、 聚光镜：NA1.25，可以直观的设置最佳的孔径光栏位置，孔径光栏处的标贴与物镜色环颜色相同。</w:t>
            </w:r>
          </w:p>
          <w:p w14:paraId="775FE4D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9、照明系统：3W SLED冷光源，底座带液晶屏，实时显示当前物镜倍率、色温、光照强度等，通过一个旋钮可以实现不同功能和信息的调整，包括：工作、休眠、光强调整、色温调整、锁定等。</w:t>
            </w:r>
          </w:p>
          <w:p w14:paraId="7245AF9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10、电源适配器：配备独立的电源适配器，低压供电，使用更完全、方便维护。</w:t>
            </w:r>
          </w:p>
          <w:p w14:paraId="235BD01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11、人机学设计：镜体背部设计有搬运手柄以及集线装置，方便收纳及搬运。</w:t>
            </w:r>
          </w:p>
          <w:p w14:paraId="04335A4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14.摄像头：内置830万象素WiFi相机，原装</w:t>
            </w:r>
            <w:r>
              <w:rPr>
                <w:rFonts w:hint="eastAsia" w:ascii="仿宋" w:hAnsi="仿宋" w:eastAsia="仿宋" w:cs="仿宋"/>
                <w:color w:val="auto"/>
                <w:sz w:val="20"/>
                <w:szCs w:val="20"/>
                <w:lang w:val="en-US" w:eastAsia="zh-CN"/>
              </w:rPr>
              <w:t>优质</w:t>
            </w:r>
            <w:r>
              <w:rPr>
                <w:rFonts w:hint="default" w:ascii="仿宋" w:hAnsi="仿宋" w:eastAsia="仿宋" w:cs="仿宋"/>
                <w:color w:val="auto"/>
                <w:sz w:val="20"/>
                <w:szCs w:val="20"/>
                <w:lang w:val="en-US" w:eastAsia="zh-CN"/>
              </w:rPr>
              <w:t>芯片，传感器尺寸：1/1.8”，分辨率：3840 *2160；最大帧率：30fps/3840 *2160，60fps/1080P；数据接口：USB3.0（High Speed）、HDMI、RJ45网口。</w:t>
            </w:r>
          </w:p>
          <w:p w14:paraId="3C53C65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p>
        </w:tc>
        <w:tc>
          <w:tcPr>
            <w:tcW w:w="312" w:type="pct"/>
            <w:vAlign w:val="center"/>
          </w:tcPr>
          <w:p w14:paraId="3073F44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32</w:t>
            </w:r>
          </w:p>
        </w:tc>
        <w:tc>
          <w:tcPr>
            <w:tcW w:w="388" w:type="pct"/>
            <w:vAlign w:val="center"/>
          </w:tcPr>
          <w:p w14:paraId="3E09EB1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471" w:type="pct"/>
            <w:vAlign w:val="center"/>
          </w:tcPr>
          <w:p w14:paraId="7A677958">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455" w:type="pct"/>
            <w:vAlign w:val="center"/>
          </w:tcPr>
          <w:p w14:paraId="4A568CF3">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4C43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072" w:type="pct"/>
            <w:gridSpan w:val="5"/>
            <w:noWrap/>
            <w:vAlign w:val="center"/>
          </w:tcPr>
          <w:p w14:paraId="51B1661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合计金额</w:t>
            </w:r>
          </w:p>
        </w:tc>
        <w:tc>
          <w:tcPr>
            <w:tcW w:w="927" w:type="pct"/>
            <w:gridSpan w:val="2"/>
            <w:vAlign w:val="center"/>
          </w:tcPr>
          <w:p w14:paraId="1CFA2571">
            <w:pPr>
              <w:keepNext w:val="0"/>
              <w:keepLines w:val="0"/>
              <w:pageBreakBefore w:val="0"/>
              <w:kinsoku/>
              <w:overflowPunct/>
              <w:topLinePunct w:val="0"/>
              <w:autoSpaceDE/>
              <w:autoSpaceDN/>
              <w:bidi w:val="0"/>
              <w:adjustRightInd/>
              <w:snapToGrid/>
              <w:spacing w:line="336" w:lineRule="auto"/>
              <w:jc w:val="center"/>
              <w:textAlignment w:val="auto"/>
              <w:rPr>
                <w:rFonts w:hint="default" w:ascii="仿宋" w:hAnsi="仿宋" w:eastAsia="仿宋" w:cs="仿宋"/>
                <w:color w:val="auto"/>
                <w:sz w:val="18"/>
                <w:szCs w:val="18"/>
                <w:u w:color="222222"/>
                <w:shd w:val="clear" w:color="auto" w:fill="FFFFFF"/>
                <w:lang w:val="en-US" w:eastAsia="zh-CN"/>
              </w:rPr>
            </w:pPr>
            <w:r>
              <w:rPr>
                <w:rFonts w:hint="eastAsia" w:ascii="仿宋" w:hAnsi="仿宋" w:eastAsia="仿宋" w:cs="仿宋"/>
                <w:color w:val="auto"/>
                <w:sz w:val="18"/>
                <w:szCs w:val="18"/>
                <w:u w:color="222222"/>
                <w:shd w:val="clear" w:color="auto" w:fill="FFFFFF"/>
                <w:lang w:val="en-US" w:eastAsia="zh-CN"/>
              </w:rPr>
              <w:t>元（大写：）</w:t>
            </w:r>
          </w:p>
        </w:tc>
      </w:tr>
    </w:tbl>
    <w:p w14:paraId="7F44D7D2">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 w:hAnsi="仿宋" w:eastAsia="仿宋" w:cs="仿宋"/>
          <w:b/>
          <w:bCs/>
          <w:color w:val="auto"/>
          <w:u w:color="222222"/>
          <w:shd w:val="clear" w:color="auto" w:fill="FFFFFF"/>
          <w:lang w:val="zh-TW" w:eastAsia="zh-TW"/>
        </w:rPr>
      </w:pPr>
    </w:p>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53756572">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以上报价包含：设备费、运输费、安装调试费、人工费、利润、税费、质保期维护费等一切费用。</w:t>
      </w:r>
    </w:p>
    <w:p w14:paraId="67B4BCBB">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清单的功能参数仅为参考，请竞谈方务必提供竞谈产品的品牌型号、详细参数、功能、报价清单及技术偏离表。</w:t>
      </w:r>
    </w:p>
    <w:p w14:paraId="2DB28158">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ascii="宋体" w:hAnsi="宋体" w:eastAsia="宋体" w:cs="宋体"/>
          <w:color w:val="auto"/>
          <w:u w:color="222222"/>
          <w:shd w:val="clear" w:color="auto" w:fill="FFFFFF"/>
        </w:rPr>
        <w:t>现场答辩环节，请竞谈方对产品进行功能性介绍。</w:t>
      </w:r>
    </w:p>
    <w:p w14:paraId="45FA0095">
      <w:pPr>
        <w:numPr>
          <w:ilvl w:val="0"/>
          <w:numId w:val="3"/>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包含但不限于以下材料，均应加盖公章，且需按如下顺序装订，并在首页制作目录：</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b/>
          <w:bCs/>
          <w:color w:val="auto"/>
          <w:u w:color="222222"/>
          <w:shd w:val="clear" w:color="auto" w:fill="FFFFFF"/>
          <w:lang w:val="en-US" w:eastAsia="zh-CN"/>
        </w:rPr>
        <w:t>10000</w:t>
      </w:r>
      <w:r>
        <w:rPr>
          <w:rFonts w:ascii="宋体" w:hAnsi="宋体" w:eastAsia="宋体" w:cs="宋体"/>
          <w:b/>
          <w:bCs/>
          <w:color w:val="auto"/>
          <w:u w:color="222222"/>
          <w:shd w:val="clear" w:color="auto" w:fill="FFFFFF"/>
        </w:rPr>
        <w:t>元（大写：</w:t>
      </w:r>
      <w:r>
        <w:rPr>
          <w:rFonts w:hint="eastAsia" w:ascii="宋体" w:hAnsi="宋体" w:eastAsia="宋体" w:cs="宋体"/>
          <w:b/>
          <w:bCs/>
          <w:color w:val="auto"/>
          <w:u w:color="222222"/>
          <w:shd w:val="clear" w:color="auto" w:fill="FFFFFF"/>
          <w:lang w:val="en-US" w:eastAsia="zh-CN"/>
        </w:rPr>
        <w:t>壹万</w:t>
      </w:r>
      <w:r>
        <w:rPr>
          <w:rFonts w:ascii="宋体" w:hAnsi="宋体" w:eastAsia="宋体" w:cs="宋体"/>
          <w:b/>
          <w:bCs/>
          <w:color w:val="auto"/>
          <w:u w:color="222222"/>
          <w:shd w:val="clear" w:color="auto" w:fill="FFFFFF"/>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CA451F2">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代理费收费比例见下表：</w:t>
      </w:r>
    </w:p>
    <w:tbl>
      <w:tblPr>
        <w:tblStyle w:val="1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1981"/>
        <w:gridCol w:w="1842"/>
        <w:gridCol w:w="1843"/>
      </w:tblGrid>
      <w:tr w14:paraId="70C8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restart"/>
            <w:tcBorders>
              <w:bottom w:val="nil"/>
            </w:tcBorders>
            <w:vAlign w:val="center"/>
          </w:tcPr>
          <w:p w14:paraId="4995B2F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中标金额</w:t>
            </w:r>
          </w:p>
          <w:p w14:paraId="4ED228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（万元）</w:t>
            </w:r>
          </w:p>
        </w:tc>
        <w:tc>
          <w:tcPr>
            <w:tcW w:w="5666" w:type="dxa"/>
            <w:gridSpan w:val="3"/>
            <w:vAlign w:val="center"/>
          </w:tcPr>
          <w:p w14:paraId="1E97EF0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服务类型</w:t>
            </w:r>
          </w:p>
        </w:tc>
      </w:tr>
      <w:tr w14:paraId="4F96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bottom w:val="nil"/>
            </w:tcBorders>
            <w:vAlign w:val="center"/>
          </w:tcPr>
          <w:p w14:paraId="6A0FDC6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1981" w:type="dxa"/>
            <w:vAlign w:val="center"/>
          </w:tcPr>
          <w:p w14:paraId="6CBBA2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货物招标</w:t>
            </w:r>
          </w:p>
        </w:tc>
        <w:tc>
          <w:tcPr>
            <w:tcW w:w="1842" w:type="dxa"/>
            <w:vAlign w:val="center"/>
          </w:tcPr>
          <w:p w14:paraId="2F56C12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服务招标</w:t>
            </w:r>
          </w:p>
        </w:tc>
        <w:tc>
          <w:tcPr>
            <w:tcW w:w="1843" w:type="dxa"/>
            <w:vAlign w:val="center"/>
          </w:tcPr>
          <w:p w14:paraId="23469D1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工程招标</w:t>
            </w:r>
          </w:p>
        </w:tc>
      </w:tr>
      <w:tr w14:paraId="2B12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tcBorders>
            <w:vAlign w:val="center"/>
          </w:tcPr>
          <w:p w14:paraId="0A717A0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5666" w:type="dxa"/>
            <w:gridSpan w:val="3"/>
            <w:vAlign w:val="center"/>
          </w:tcPr>
          <w:p w14:paraId="5382043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费 率</w:t>
            </w:r>
          </w:p>
        </w:tc>
      </w:tr>
      <w:tr w14:paraId="7FFA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3B79778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100及以下</w:t>
            </w:r>
          </w:p>
        </w:tc>
        <w:tc>
          <w:tcPr>
            <w:tcW w:w="1981" w:type="dxa"/>
            <w:vAlign w:val="center"/>
          </w:tcPr>
          <w:p w14:paraId="62532E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2" w:type="dxa"/>
            <w:vAlign w:val="center"/>
          </w:tcPr>
          <w:p w14:paraId="75133AA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3" w:type="dxa"/>
            <w:vAlign w:val="center"/>
          </w:tcPr>
          <w:p w14:paraId="74BD5E4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w:t>
            </w:r>
          </w:p>
        </w:tc>
      </w:tr>
      <w:tr w14:paraId="241D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DDBC7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100—500(含)</w:t>
            </w:r>
          </w:p>
        </w:tc>
        <w:tc>
          <w:tcPr>
            <w:tcW w:w="1981" w:type="dxa"/>
            <w:vAlign w:val="center"/>
          </w:tcPr>
          <w:p w14:paraId="059874F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1.1%</w:t>
            </w:r>
          </w:p>
        </w:tc>
        <w:tc>
          <w:tcPr>
            <w:tcW w:w="1842" w:type="dxa"/>
            <w:vAlign w:val="center"/>
          </w:tcPr>
          <w:p w14:paraId="4723E4BA">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1.8%</w:t>
            </w:r>
          </w:p>
        </w:tc>
        <w:tc>
          <w:tcPr>
            <w:tcW w:w="1843" w:type="dxa"/>
            <w:vAlign w:val="center"/>
          </w:tcPr>
          <w:p w14:paraId="18E878A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0.7%</w:t>
            </w:r>
          </w:p>
        </w:tc>
      </w:tr>
      <w:tr w14:paraId="534D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D3A5DA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500—1000(含)</w:t>
            </w:r>
          </w:p>
        </w:tc>
        <w:tc>
          <w:tcPr>
            <w:tcW w:w="1981" w:type="dxa"/>
            <w:vAlign w:val="center"/>
          </w:tcPr>
          <w:p w14:paraId="14C3820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0.8%</w:t>
            </w:r>
          </w:p>
        </w:tc>
        <w:tc>
          <w:tcPr>
            <w:tcW w:w="1842" w:type="dxa"/>
            <w:vAlign w:val="center"/>
          </w:tcPr>
          <w:p w14:paraId="797F584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0.45%</w:t>
            </w:r>
          </w:p>
        </w:tc>
        <w:tc>
          <w:tcPr>
            <w:tcW w:w="1843" w:type="dxa"/>
            <w:vAlign w:val="center"/>
          </w:tcPr>
          <w:p w14:paraId="10C6146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0.55%</w:t>
            </w:r>
          </w:p>
        </w:tc>
      </w:tr>
      <w:tr w14:paraId="5015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11644C3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1000—5000(含)</w:t>
            </w:r>
          </w:p>
        </w:tc>
        <w:tc>
          <w:tcPr>
            <w:tcW w:w="1981" w:type="dxa"/>
            <w:vAlign w:val="center"/>
          </w:tcPr>
          <w:p w14:paraId="16BECE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w:t>
            </w:r>
          </w:p>
        </w:tc>
        <w:tc>
          <w:tcPr>
            <w:tcW w:w="1842" w:type="dxa"/>
            <w:vAlign w:val="center"/>
          </w:tcPr>
          <w:p w14:paraId="4742211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3" w:type="dxa"/>
            <w:vAlign w:val="center"/>
          </w:tcPr>
          <w:p w14:paraId="679C6FD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0.35%</w:t>
            </w:r>
          </w:p>
        </w:tc>
      </w:tr>
      <w:tr w14:paraId="54AC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7A07E4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5000—100000(含)</w:t>
            </w:r>
          </w:p>
        </w:tc>
        <w:tc>
          <w:tcPr>
            <w:tcW w:w="1981" w:type="dxa"/>
            <w:vAlign w:val="center"/>
          </w:tcPr>
          <w:p w14:paraId="7EBCFEF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2" w:type="dxa"/>
            <w:vAlign w:val="center"/>
          </w:tcPr>
          <w:p w14:paraId="010FE86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0.1%</w:t>
            </w:r>
          </w:p>
        </w:tc>
        <w:tc>
          <w:tcPr>
            <w:tcW w:w="1843" w:type="dxa"/>
            <w:vAlign w:val="center"/>
          </w:tcPr>
          <w:p w14:paraId="411C95D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w:t>
            </w:r>
          </w:p>
        </w:tc>
      </w:tr>
      <w:tr w14:paraId="0CFA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027649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100000—100000(含)</w:t>
            </w:r>
          </w:p>
        </w:tc>
        <w:tc>
          <w:tcPr>
            <w:tcW w:w="1981" w:type="dxa"/>
            <w:vAlign w:val="center"/>
          </w:tcPr>
          <w:p w14:paraId="66EFBE9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2" w:type="dxa"/>
            <w:vAlign w:val="center"/>
          </w:tcPr>
          <w:p w14:paraId="57E7CB9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3" w:type="dxa"/>
            <w:vAlign w:val="center"/>
          </w:tcPr>
          <w:p w14:paraId="446B41A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r>
      <w:tr w14:paraId="3E69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97464F">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1000000以上</w:t>
            </w:r>
          </w:p>
        </w:tc>
        <w:tc>
          <w:tcPr>
            <w:tcW w:w="1981" w:type="dxa"/>
            <w:vAlign w:val="center"/>
          </w:tcPr>
          <w:p w14:paraId="449BA1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2" w:type="dxa"/>
            <w:vAlign w:val="center"/>
          </w:tcPr>
          <w:p w14:paraId="4AC31F6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3" w:type="dxa"/>
            <w:vAlign w:val="center"/>
          </w:tcPr>
          <w:p w14:paraId="54E98130">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r>
    </w:tbl>
    <w:p w14:paraId="2A51316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0C61DC0">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p>
    <w:p w14:paraId="2232F02B">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（1）文件递交</w:t>
      </w:r>
      <w:r>
        <w:rPr>
          <w:rFonts w:hint="eastAsia" w:ascii="宋体" w:hAnsi="宋体" w:eastAsia="宋体" w:cs="宋体"/>
          <w:b/>
          <w:bCs/>
          <w:color w:val="auto"/>
          <w:lang w:val="zh-TW" w:eastAsia="zh-TW"/>
        </w:rPr>
        <w:t>截止时间：202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hint="eastAsia" w:ascii="宋体" w:hAnsi="宋体" w:eastAsia="宋体" w:cs="宋体"/>
          <w:b/>
          <w:bCs/>
          <w:color w:val="auto"/>
          <w:lang w:val="en-US" w:eastAsia="zh-CN"/>
        </w:rPr>
        <w:t>10</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13</w:t>
      </w:r>
      <w:r>
        <w:rPr>
          <w:rFonts w:hint="eastAsia" w:ascii="宋体" w:hAnsi="宋体" w:eastAsia="宋体" w:cs="宋体"/>
          <w:b/>
          <w:bCs/>
          <w:color w:val="auto"/>
          <w:lang w:val="zh-TW" w:eastAsia="zh-TW"/>
        </w:rPr>
        <w:t>日</w:t>
      </w:r>
      <w:r>
        <w:rPr>
          <w:rFonts w:hint="eastAsia" w:ascii="宋体" w:hAnsi="宋体" w:eastAsia="宋体" w:cs="宋体"/>
          <w:b/>
          <w:bCs/>
          <w:color w:val="auto"/>
          <w:lang w:val="zh-TW"/>
        </w:rPr>
        <w:t>下午</w:t>
      </w:r>
      <w:r>
        <w:rPr>
          <w:rFonts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lang w:val="zh-TW" w:eastAsia="zh-TW"/>
        </w:rPr>
        <w:t>:</w:t>
      </w:r>
      <w:r>
        <w:rPr>
          <w:rFonts w:hint="eastAsia" w:ascii="宋体" w:hAnsi="宋体" w:eastAsia="宋体" w:cs="宋体"/>
          <w:b/>
          <w:bCs/>
          <w:color w:val="auto"/>
        </w:rPr>
        <w:t>0</w:t>
      </w:r>
      <w:r>
        <w:rPr>
          <w:rFonts w:hint="eastAsia" w:ascii="宋体" w:hAnsi="宋体" w:eastAsia="宋体" w:cs="宋体"/>
          <w:b/>
          <w:bCs/>
          <w:color w:val="auto"/>
          <w:lang w:val="zh-TW" w:eastAsia="zh-TW"/>
        </w:rPr>
        <w:t>0；(可提前提交)</w:t>
      </w:r>
    </w:p>
    <w:p w14:paraId="289A8EEA">
      <w:pPr>
        <w:spacing w:after="0" w:line="460" w:lineRule="exact"/>
        <w:ind w:firstLine="422" w:firstLineChars="200"/>
        <w:rPr>
          <w:rFonts w:ascii="宋体" w:hAnsi="宋体" w:eastAsia="宋体" w:cs="宋体"/>
          <w:b/>
          <w:bCs/>
          <w:color w:val="auto"/>
          <w:highlight w:val="yellow"/>
          <w:lang w:val="zh-TW" w:eastAsia="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文件</w:t>
      </w:r>
      <w:r>
        <w:rPr>
          <w:rFonts w:hint="eastAsia" w:ascii="宋体" w:hAnsi="宋体" w:eastAsia="宋体" w:cs="宋体"/>
          <w:b/>
          <w:bCs/>
          <w:color w:val="auto"/>
          <w:lang w:val="zh-TW" w:eastAsia="zh-TW"/>
        </w:rPr>
        <w:t>递交地点：云南省昆明市五华区海屯路296号综合楼8楼</w:t>
      </w:r>
      <w:r>
        <w:rPr>
          <w:rFonts w:hint="eastAsia" w:ascii="宋体" w:hAnsi="宋体" w:eastAsia="宋体" w:cs="宋体"/>
          <w:b/>
          <w:bCs/>
          <w:color w:val="auto"/>
          <w:lang w:val="zh-TW"/>
        </w:rPr>
        <w:t>。</w:t>
      </w:r>
    </w:p>
    <w:p w14:paraId="5531F0A6">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val="zh-TW" w:eastAsia="zh-TW"/>
        </w:rPr>
        <w:t>评审</w:t>
      </w:r>
      <w:r>
        <w:rPr>
          <w:rFonts w:hint="eastAsia" w:ascii="宋体" w:hAnsi="宋体" w:eastAsia="宋体" w:cs="宋体"/>
          <w:b/>
          <w:bCs/>
          <w:color w:val="auto"/>
        </w:rPr>
        <w:t>信息</w:t>
      </w:r>
    </w:p>
    <w:p w14:paraId="7A2CDB5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（1）竞谈</w:t>
      </w:r>
      <w:r>
        <w:rPr>
          <w:rFonts w:hint="eastAsia" w:ascii="宋体" w:hAnsi="宋体" w:eastAsia="宋体" w:cs="宋体"/>
          <w:b/>
          <w:bCs/>
          <w:color w:val="auto"/>
          <w:lang w:val="zh-TW" w:eastAsia="zh-TW"/>
        </w:rPr>
        <w:t>评审时间：202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hint="eastAsia" w:ascii="宋体" w:hAnsi="宋体" w:eastAsia="宋体" w:cs="宋体"/>
          <w:b/>
          <w:bCs/>
          <w:color w:val="auto"/>
          <w:lang w:val="en-US" w:eastAsia="zh-CN"/>
        </w:rPr>
        <w:t>10</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14</w:t>
      </w:r>
      <w:r>
        <w:rPr>
          <w:rFonts w:hint="eastAsia" w:ascii="宋体" w:hAnsi="宋体" w:eastAsia="宋体" w:cs="宋体"/>
          <w:b/>
          <w:bCs/>
          <w:color w:val="auto"/>
          <w:lang w:val="zh-TW" w:eastAsia="zh-TW"/>
        </w:rPr>
        <w:t>日</w:t>
      </w:r>
      <w:r>
        <w:rPr>
          <w:rFonts w:hint="eastAsia" w:ascii="宋体" w:hAnsi="宋体" w:eastAsia="宋体" w:cs="宋体"/>
          <w:b/>
          <w:bCs/>
          <w:color w:val="auto"/>
          <w:lang w:val="en-US" w:eastAsia="zh-CN"/>
        </w:rPr>
        <w:t>上</w:t>
      </w:r>
      <w:r>
        <w:rPr>
          <w:rFonts w:hint="eastAsia" w:ascii="宋体" w:hAnsi="宋体" w:eastAsia="宋体" w:cs="宋体"/>
          <w:b/>
          <w:bCs/>
          <w:color w:val="auto"/>
          <w:lang w:val="zh-TW" w:eastAsia="zh-TW"/>
        </w:rPr>
        <w:t>午</w:t>
      </w:r>
      <w:r>
        <w:rPr>
          <w:rFonts w:hint="eastAsia" w:ascii="宋体" w:hAnsi="宋体" w:eastAsia="宋体" w:cs="宋体"/>
          <w:b/>
          <w:bCs/>
          <w:color w:val="auto"/>
          <w:lang w:val="en-US" w:eastAsia="zh-CN"/>
        </w:rPr>
        <w:t>9</w:t>
      </w:r>
      <w:r>
        <w:rPr>
          <w:rFonts w:hint="eastAsia" w:ascii="宋体" w:hAnsi="宋体" w:eastAsia="宋体" w:cs="宋体"/>
          <w:b/>
          <w:bCs/>
          <w:color w:val="auto"/>
        </w:rPr>
        <w:t>:</w:t>
      </w:r>
      <w:r>
        <w:rPr>
          <w:rFonts w:ascii="宋体" w:hAnsi="宋体" w:eastAsia="宋体" w:cs="宋体"/>
          <w:b/>
          <w:bCs/>
          <w:color w:val="auto"/>
        </w:rPr>
        <w:t>30</w:t>
      </w:r>
      <w:r>
        <w:rPr>
          <w:rFonts w:hint="eastAsia" w:ascii="宋体" w:hAnsi="宋体" w:eastAsia="宋体" w:cs="宋体"/>
          <w:b/>
          <w:bCs/>
          <w:color w:val="auto"/>
          <w:lang w:val="zh-TW" w:eastAsia="zh-TW"/>
        </w:rPr>
        <w:t xml:space="preserve">； </w:t>
      </w:r>
    </w:p>
    <w:p w14:paraId="56C9F0EC">
      <w:pPr>
        <w:spacing w:after="0" w:line="460" w:lineRule="exact"/>
        <w:ind w:firstLine="422" w:firstLineChars="200"/>
        <w:rPr>
          <w:rFonts w:ascii="宋体" w:hAnsi="宋体" w:eastAsia="宋体" w:cs="宋体"/>
          <w:b/>
          <w:bCs/>
          <w:color w:val="auto"/>
          <w:lang w:val="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竞谈</w:t>
      </w:r>
      <w:r>
        <w:rPr>
          <w:rFonts w:hint="eastAsia" w:ascii="宋体" w:hAnsi="宋体" w:eastAsia="宋体" w:cs="宋体"/>
          <w:b/>
          <w:bCs/>
          <w:color w:val="auto"/>
          <w:lang w:val="zh-TW" w:eastAsia="zh-TW"/>
        </w:rPr>
        <w:t>评审地点：云南省昆明市五华区海屯路296号综合楼8楼</w:t>
      </w:r>
      <w:r>
        <w:rPr>
          <w:rFonts w:hint="eastAsia" w:ascii="宋体" w:hAnsi="宋体" w:eastAsia="宋体" w:cs="宋体"/>
          <w:b/>
          <w:bCs/>
          <w:color w:val="auto"/>
        </w:rPr>
        <w:t>会议室</w:t>
      </w:r>
      <w:r>
        <w:rPr>
          <w:rFonts w:hint="eastAsia" w:ascii="宋体" w:hAnsi="宋体" w:eastAsia="宋体" w:cs="宋体"/>
          <w:b/>
          <w:bCs/>
          <w:color w:val="auto"/>
          <w:lang w:val="zh-TW"/>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杨</w:t>
      </w:r>
      <w:r>
        <w:rPr>
          <w:rFonts w:hint="eastAsia" w:ascii="宋体" w:hAnsi="宋体" w:eastAsia="宋体" w:cs="宋体"/>
          <w:color w:val="auto"/>
          <w:lang w:val="zh-TW"/>
        </w:rPr>
        <w:t xml:space="preserve">老师 </w:t>
      </w:r>
      <w:r>
        <w:rPr>
          <w:rFonts w:hint="eastAsia" w:ascii="宋体" w:hAnsi="宋体" w:eastAsia="宋体" w:cs="宋体"/>
          <w:color w:val="auto"/>
          <w:lang w:val="en-US" w:eastAsia="zh-CN"/>
        </w:rPr>
        <w:t>13769491020</w:t>
      </w:r>
      <w:r>
        <w:rPr>
          <w:rFonts w:hint="eastAsia" w:ascii="宋体" w:hAnsi="宋体" w:eastAsia="宋体" w:cs="宋体"/>
          <w:color w:val="auto"/>
          <w:lang w:val="zh-TW"/>
        </w:rPr>
        <w:t>。</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zh-TW"/>
        </w:rPr>
        <w:t>刘老师</w:t>
      </w:r>
      <w:r>
        <w:rPr>
          <w:rFonts w:hint="eastAsia" w:ascii="宋体" w:hAnsi="宋体" w:eastAsia="宋体" w:cs="宋体"/>
          <w:color w:val="auto"/>
          <w:lang w:val="zh-TW" w:eastAsia="zh-TW"/>
        </w:rPr>
        <w:t xml:space="preserve"> </w:t>
      </w:r>
      <w:r>
        <w:rPr>
          <w:rFonts w:ascii="宋体" w:hAnsi="宋体" w:eastAsia="PMingLiU" w:cs="宋体"/>
          <w:color w:val="auto"/>
          <w:lang w:val="zh-TW" w:eastAsia="zh-TW"/>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翟</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18388287989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479BBFC">
      <w:pPr>
        <w:spacing w:after="0" w:line="460" w:lineRule="exact"/>
        <w:ind w:firstLine="420" w:firstLineChars="200"/>
        <w:jc w:val="right"/>
        <w:rPr>
          <w:rFonts w:ascii="宋体" w:hAnsi="宋体" w:eastAsia="宋体" w:cs="宋体"/>
          <w:color w:val="auto"/>
        </w:rPr>
      </w:pPr>
      <w:r>
        <w:rPr>
          <w:rFonts w:hint="eastAsia" w:ascii="宋体" w:hAnsi="宋体" w:eastAsia="宋体" w:cs="宋体"/>
          <w:color w:val="auto"/>
        </w:rPr>
        <w:t>采购单位：云南医药健康职业学院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1033251C">
      <w:pPr>
        <w:spacing w:after="0" w:line="460" w:lineRule="exact"/>
        <w:ind w:firstLine="420" w:firstLineChars="200"/>
        <w:jc w:val="right"/>
        <w:rPr>
          <w:rFonts w:ascii="宋体" w:hAnsi="宋体" w:eastAsia="宋体" w:cs="宋体"/>
          <w:color w:val="auto"/>
          <w:lang w:val="zh-TW"/>
        </w:rPr>
      </w:pPr>
      <w:r>
        <w:rPr>
          <w:rFonts w:hint="eastAsia" w:ascii="宋体" w:hAnsi="宋体" w:eastAsia="宋体" w:cs="宋体"/>
          <w:color w:val="auto"/>
        </w:rPr>
        <w:t>2025</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9</w:t>
      </w:r>
      <w:r>
        <w:rPr>
          <w:rFonts w:hint="eastAsia" w:ascii="宋体" w:hAnsi="宋体" w:eastAsia="宋体" w:cs="宋体"/>
          <w:color w:val="auto"/>
        </w:rPr>
        <w:t>月</w:t>
      </w:r>
      <w:r>
        <w:rPr>
          <w:rFonts w:hint="eastAsia" w:ascii="宋体" w:hAnsi="宋体" w:eastAsia="宋体" w:cs="宋体"/>
          <w:color w:val="auto"/>
          <w:lang w:val="en-US" w:eastAsia="zh-CN"/>
        </w:rPr>
        <w:t>27</w:t>
      </w:r>
      <w:r>
        <w:rPr>
          <w:rFonts w:hint="eastAsia" w:ascii="宋体" w:hAnsi="宋体" w:eastAsia="宋体" w:cs="宋体"/>
          <w:color w:val="auto"/>
          <w:lang w:val="zh-TW" w:eastAsia="zh-TW"/>
        </w:rPr>
        <w:t>日</w:t>
      </w:r>
    </w:p>
    <w:p w14:paraId="572A0977">
      <w:pPr>
        <w:spacing w:after="0" w:line="460" w:lineRule="exact"/>
        <w:rPr>
          <w:rFonts w:ascii="宋体" w:hAnsi="宋体" w:eastAsia="宋体" w:cs="宋体"/>
          <w:color w:val="auto"/>
        </w:rPr>
      </w:pPr>
    </w:p>
    <w:p w14:paraId="68D9571C">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embedRegular r:id="rId1" w:fontKey="{1322C866-6CDD-4B31-9236-BC0D23149604}"/>
  </w:font>
  <w:font w:name="PMingLiU">
    <w:altName w:val="Verdana"/>
    <w:panose1 w:val="02010601000101010101"/>
    <w:charset w:val="00"/>
    <w:family w:val="auto"/>
    <w:pitch w:val="default"/>
    <w:sig w:usb0="00000000" w:usb1="00000000" w:usb2="00000000" w:usb3="00000000" w:csb0="00000000" w:csb1="00000000"/>
    <w:embedRegular r:id="rId2" w:fontKey="{BFFB1067-DD14-4808-9BF1-AF45A664A4C2}"/>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1">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A2D09"/>
    <w:rsid w:val="003829FA"/>
    <w:rsid w:val="00394D68"/>
    <w:rsid w:val="003A34F6"/>
    <w:rsid w:val="003D1281"/>
    <w:rsid w:val="00423F6C"/>
    <w:rsid w:val="00465898"/>
    <w:rsid w:val="00475304"/>
    <w:rsid w:val="0049017B"/>
    <w:rsid w:val="004C0BAE"/>
    <w:rsid w:val="004C11F3"/>
    <w:rsid w:val="00527404"/>
    <w:rsid w:val="0061788A"/>
    <w:rsid w:val="0065267D"/>
    <w:rsid w:val="00661709"/>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41B0A5C"/>
    <w:rsid w:val="0466617C"/>
    <w:rsid w:val="049525BD"/>
    <w:rsid w:val="04A22F2C"/>
    <w:rsid w:val="04F80D9E"/>
    <w:rsid w:val="05AD3936"/>
    <w:rsid w:val="05DA2E36"/>
    <w:rsid w:val="05EC26B0"/>
    <w:rsid w:val="061B4D44"/>
    <w:rsid w:val="06604E4C"/>
    <w:rsid w:val="06734B80"/>
    <w:rsid w:val="06874187"/>
    <w:rsid w:val="06B81D95"/>
    <w:rsid w:val="06CC4290"/>
    <w:rsid w:val="06F0248B"/>
    <w:rsid w:val="0721638A"/>
    <w:rsid w:val="07AB012E"/>
    <w:rsid w:val="07D16002"/>
    <w:rsid w:val="07D4164E"/>
    <w:rsid w:val="07F12200"/>
    <w:rsid w:val="083B347B"/>
    <w:rsid w:val="084F33CB"/>
    <w:rsid w:val="08964D2B"/>
    <w:rsid w:val="089963F4"/>
    <w:rsid w:val="09306D58"/>
    <w:rsid w:val="098826F0"/>
    <w:rsid w:val="098D1FCD"/>
    <w:rsid w:val="09E85450"/>
    <w:rsid w:val="0A894972"/>
    <w:rsid w:val="0A8B1D8C"/>
    <w:rsid w:val="0AC67734"/>
    <w:rsid w:val="0ADF5F23"/>
    <w:rsid w:val="0AFB13A8"/>
    <w:rsid w:val="0B697B02"/>
    <w:rsid w:val="0BEF4CA9"/>
    <w:rsid w:val="0C1110C3"/>
    <w:rsid w:val="0C915D60"/>
    <w:rsid w:val="0CFC1C88"/>
    <w:rsid w:val="0DCA0182"/>
    <w:rsid w:val="0DEF71E2"/>
    <w:rsid w:val="0E23092D"/>
    <w:rsid w:val="0E5232CD"/>
    <w:rsid w:val="0E627CE7"/>
    <w:rsid w:val="0E9B4C74"/>
    <w:rsid w:val="0F1467D4"/>
    <w:rsid w:val="0F276507"/>
    <w:rsid w:val="0FB00182"/>
    <w:rsid w:val="0FFF1232"/>
    <w:rsid w:val="101C3AC9"/>
    <w:rsid w:val="103B0861"/>
    <w:rsid w:val="109C1B7D"/>
    <w:rsid w:val="10BD35C7"/>
    <w:rsid w:val="10FD7403"/>
    <w:rsid w:val="11290C5D"/>
    <w:rsid w:val="11597664"/>
    <w:rsid w:val="116C28F7"/>
    <w:rsid w:val="11D706B9"/>
    <w:rsid w:val="11F506C6"/>
    <w:rsid w:val="12137217"/>
    <w:rsid w:val="121A67F7"/>
    <w:rsid w:val="124D2729"/>
    <w:rsid w:val="125F245C"/>
    <w:rsid w:val="12716D9B"/>
    <w:rsid w:val="12B677C2"/>
    <w:rsid w:val="130A17ED"/>
    <w:rsid w:val="131119A8"/>
    <w:rsid w:val="13203999"/>
    <w:rsid w:val="135B0E75"/>
    <w:rsid w:val="13D84274"/>
    <w:rsid w:val="14151024"/>
    <w:rsid w:val="147B66BC"/>
    <w:rsid w:val="14F53595"/>
    <w:rsid w:val="1582093B"/>
    <w:rsid w:val="15D373E9"/>
    <w:rsid w:val="16443E43"/>
    <w:rsid w:val="16DF591A"/>
    <w:rsid w:val="16E573D4"/>
    <w:rsid w:val="174E7FCF"/>
    <w:rsid w:val="176D1177"/>
    <w:rsid w:val="17F11DA8"/>
    <w:rsid w:val="18390845"/>
    <w:rsid w:val="186407CC"/>
    <w:rsid w:val="193373FD"/>
    <w:rsid w:val="1948569A"/>
    <w:rsid w:val="19692726"/>
    <w:rsid w:val="1AC35C7E"/>
    <w:rsid w:val="1AFC3AB4"/>
    <w:rsid w:val="1B920ECC"/>
    <w:rsid w:val="1C4F3541"/>
    <w:rsid w:val="1C563C9B"/>
    <w:rsid w:val="1CA4563B"/>
    <w:rsid w:val="1CAD0994"/>
    <w:rsid w:val="1CEB14BC"/>
    <w:rsid w:val="1CFB4B98"/>
    <w:rsid w:val="1D444728"/>
    <w:rsid w:val="1D454D04"/>
    <w:rsid w:val="1D884F5D"/>
    <w:rsid w:val="1DD74DE5"/>
    <w:rsid w:val="1E0067ED"/>
    <w:rsid w:val="1E29229C"/>
    <w:rsid w:val="1E8C54A8"/>
    <w:rsid w:val="1EA96F39"/>
    <w:rsid w:val="1EC10726"/>
    <w:rsid w:val="1EC879EB"/>
    <w:rsid w:val="1ECE074D"/>
    <w:rsid w:val="1ED815CC"/>
    <w:rsid w:val="1EEE0DF0"/>
    <w:rsid w:val="1F587D1E"/>
    <w:rsid w:val="1F6966C8"/>
    <w:rsid w:val="20671A1A"/>
    <w:rsid w:val="208A4B48"/>
    <w:rsid w:val="20B967E2"/>
    <w:rsid w:val="21091F11"/>
    <w:rsid w:val="216A316F"/>
    <w:rsid w:val="21A65344"/>
    <w:rsid w:val="21CA3C4C"/>
    <w:rsid w:val="22034BB2"/>
    <w:rsid w:val="22041389"/>
    <w:rsid w:val="22350AE4"/>
    <w:rsid w:val="224F1BA5"/>
    <w:rsid w:val="22C307F5"/>
    <w:rsid w:val="233414D0"/>
    <w:rsid w:val="234E4553"/>
    <w:rsid w:val="235356C5"/>
    <w:rsid w:val="23945594"/>
    <w:rsid w:val="23A93537"/>
    <w:rsid w:val="23AF10E5"/>
    <w:rsid w:val="23D762F6"/>
    <w:rsid w:val="243758B0"/>
    <w:rsid w:val="247E49C4"/>
    <w:rsid w:val="25034EC9"/>
    <w:rsid w:val="250A6257"/>
    <w:rsid w:val="252D1DA1"/>
    <w:rsid w:val="25461B81"/>
    <w:rsid w:val="256C66E8"/>
    <w:rsid w:val="25737F81"/>
    <w:rsid w:val="25BE1984"/>
    <w:rsid w:val="26123616"/>
    <w:rsid w:val="2680190E"/>
    <w:rsid w:val="26A500BB"/>
    <w:rsid w:val="271E423C"/>
    <w:rsid w:val="28012E1E"/>
    <w:rsid w:val="28234CE7"/>
    <w:rsid w:val="28245882"/>
    <w:rsid w:val="28B05368"/>
    <w:rsid w:val="29A46C7B"/>
    <w:rsid w:val="29D07A70"/>
    <w:rsid w:val="29D15596"/>
    <w:rsid w:val="29D60DFE"/>
    <w:rsid w:val="2A477CE9"/>
    <w:rsid w:val="2A513AEC"/>
    <w:rsid w:val="2A88034A"/>
    <w:rsid w:val="2C4958B7"/>
    <w:rsid w:val="2C83552E"/>
    <w:rsid w:val="2C8A00B1"/>
    <w:rsid w:val="2D151838"/>
    <w:rsid w:val="2D7D541A"/>
    <w:rsid w:val="2DA51262"/>
    <w:rsid w:val="2E33681F"/>
    <w:rsid w:val="2E532A1D"/>
    <w:rsid w:val="2E815065"/>
    <w:rsid w:val="2F034443"/>
    <w:rsid w:val="2FBC4D4D"/>
    <w:rsid w:val="303626F5"/>
    <w:rsid w:val="30395C43"/>
    <w:rsid w:val="303B7C0D"/>
    <w:rsid w:val="306C7DC6"/>
    <w:rsid w:val="30A24BC5"/>
    <w:rsid w:val="31D837D6"/>
    <w:rsid w:val="32225D58"/>
    <w:rsid w:val="3253123E"/>
    <w:rsid w:val="32BB6DE3"/>
    <w:rsid w:val="32C4213C"/>
    <w:rsid w:val="32D81743"/>
    <w:rsid w:val="32D85BE7"/>
    <w:rsid w:val="32F522F5"/>
    <w:rsid w:val="33822362"/>
    <w:rsid w:val="33993C89"/>
    <w:rsid w:val="34321327"/>
    <w:rsid w:val="344F012B"/>
    <w:rsid w:val="34671C20"/>
    <w:rsid w:val="34773182"/>
    <w:rsid w:val="34B36C4C"/>
    <w:rsid w:val="34E73CF4"/>
    <w:rsid w:val="350576C3"/>
    <w:rsid w:val="35BD4200"/>
    <w:rsid w:val="35DB4784"/>
    <w:rsid w:val="376D0FF4"/>
    <w:rsid w:val="377A726D"/>
    <w:rsid w:val="378E21EB"/>
    <w:rsid w:val="37920A5A"/>
    <w:rsid w:val="37D22C05"/>
    <w:rsid w:val="37E10C18"/>
    <w:rsid w:val="38C06F01"/>
    <w:rsid w:val="38D330D8"/>
    <w:rsid w:val="390519D8"/>
    <w:rsid w:val="392A6A70"/>
    <w:rsid w:val="39663F4D"/>
    <w:rsid w:val="3995213C"/>
    <w:rsid w:val="39BC591B"/>
    <w:rsid w:val="39D709A6"/>
    <w:rsid w:val="39FC352A"/>
    <w:rsid w:val="3A465B2C"/>
    <w:rsid w:val="3A93317B"/>
    <w:rsid w:val="3A971EE4"/>
    <w:rsid w:val="3ADC741E"/>
    <w:rsid w:val="3B2D6E57"/>
    <w:rsid w:val="3B2E0CDD"/>
    <w:rsid w:val="3B404329"/>
    <w:rsid w:val="3BE178BA"/>
    <w:rsid w:val="3C180B66"/>
    <w:rsid w:val="3C68259C"/>
    <w:rsid w:val="3CBA010B"/>
    <w:rsid w:val="3CF11D7F"/>
    <w:rsid w:val="3D23796D"/>
    <w:rsid w:val="3D2E2FD3"/>
    <w:rsid w:val="3D2F0AF9"/>
    <w:rsid w:val="3DF5776D"/>
    <w:rsid w:val="3E1607E4"/>
    <w:rsid w:val="3E774506"/>
    <w:rsid w:val="3E7C38CA"/>
    <w:rsid w:val="3ED24D5F"/>
    <w:rsid w:val="405E1B7A"/>
    <w:rsid w:val="40DA6FCE"/>
    <w:rsid w:val="41006A35"/>
    <w:rsid w:val="41177CBE"/>
    <w:rsid w:val="415D1F4B"/>
    <w:rsid w:val="419B52B3"/>
    <w:rsid w:val="41F1637D"/>
    <w:rsid w:val="43F403A7"/>
    <w:rsid w:val="44062F6B"/>
    <w:rsid w:val="44326199"/>
    <w:rsid w:val="4441183E"/>
    <w:rsid w:val="44E11872"/>
    <w:rsid w:val="454A2974"/>
    <w:rsid w:val="45D31C7C"/>
    <w:rsid w:val="461F5BAF"/>
    <w:rsid w:val="468048DC"/>
    <w:rsid w:val="46DF0E9A"/>
    <w:rsid w:val="471A1003"/>
    <w:rsid w:val="47845921"/>
    <w:rsid w:val="47CB141F"/>
    <w:rsid w:val="480F7EF4"/>
    <w:rsid w:val="48220665"/>
    <w:rsid w:val="482C010F"/>
    <w:rsid w:val="489067A7"/>
    <w:rsid w:val="48AB2CA2"/>
    <w:rsid w:val="48F52BF7"/>
    <w:rsid w:val="49A91E85"/>
    <w:rsid w:val="4A3459A1"/>
    <w:rsid w:val="4A502EA4"/>
    <w:rsid w:val="4B840262"/>
    <w:rsid w:val="4B90505B"/>
    <w:rsid w:val="4C155020"/>
    <w:rsid w:val="4C211B66"/>
    <w:rsid w:val="4C5B5709"/>
    <w:rsid w:val="4C6662F6"/>
    <w:rsid w:val="4C7E68FD"/>
    <w:rsid w:val="4C820C46"/>
    <w:rsid w:val="4D3919C1"/>
    <w:rsid w:val="4D671BE7"/>
    <w:rsid w:val="4DA644C0"/>
    <w:rsid w:val="4DF74D1B"/>
    <w:rsid w:val="4E720846"/>
    <w:rsid w:val="4E9E163B"/>
    <w:rsid w:val="4ED14D41"/>
    <w:rsid w:val="4F4C72E9"/>
    <w:rsid w:val="4F8627FB"/>
    <w:rsid w:val="4F9D18F3"/>
    <w:rsid w:val="504F7091"/>
    <w:rsid w:val="50642410"/>
    <w:rsid w:val="512D6CA6"/>
    <w:rsid w:val="513B5887"/>
    <w:rsid w:val="51493AE0"/>
    <w:rsid w:val="51951D61"/>
    <w:rsid w:val="519F5DF6"/>
    <w:rsid w:val="52AF02BB"/>
    <w:rsid w:val="52D7336D"/>
    <w:rsid w:val="52FB52AE"/>
    <w:rsid w:val="52FE4D9E"/>
    <w:rsid w:val="539A6875"/>
    <w:rsid w:val="53A07C03"/>
    <w:rsid w:val="53FD5056"/>
    <w:rsid w:val="542C1497"/>
    <w:rsid w:val="55211CC3"/>
    <w:rsid w:val="5555648E"/>
    <w:rsid w:val="55627866"/>
    <w:rsid w:val="55782D35"/>
    <w:rsid w:val="55F06C20"/>
    <w:rsid w:val="56513437"/>
    <w:rsid w:val="572D17AE"/>
    <w:rsid w:val="574D00A2"/>
    <w:rsid w:val="57574A7D"/>
    <w:rsid w:val="57963596"/>
    <w:rsid w:val="58164551"/>
    <w:rsid w:val="58A12453"/>
    <w:rsid w:val="5901739F"/>
    <w:rsid w:val="594F3C5E"/>
    <w:rsid w:val="5A193B3B"/>
    <w:rsid w:val="5AE35282"/>
    <w:rsid w:val="5BA858A7"/>
    <w:rsid w:val="5BBD65B1"/>
    <w:rsid w:val="5BC7792B"/>
    <w:rsid w:val="5C1419D3"/>
    <w:rsid w:val="5C7E7952"/>
    <w:rsid w:val="5C814CB2"/>
    <w:rsid w:val="5DA30A1C"/>
    <w:rsid w:val="5DBB0B1A"/>
    <w:rsid w:val="5E602469"/>
    <w:rsid w:val="5E77028A"/>
    <w:rsid w:val="5E776660"/>
    <w:rsid w:val="5E7D669A"/>
    <w:rsid w:val="5ECE3876"/>
    <w:rsid w:val="5EF4373D"/>
    <w:rsid w:val="5F0E0117"/>
    <w:rsid w:val="5F622211"/>
    <w:rsid w:val="5FB32A6C"/>
    <w:rsid w:val="60387081"/>
    <w:rsid w:val="603E67DA"/>
    <w:rsid w:val="605D183B"/>
    <w:rsid w:val="60643393"/>
    <w:rsid w:val="611371DB"/>
    <w:rsid w:val="612C2AD6"/>
    <w:rsid w:val="617D467A"/>
    <w:rsid w:val="61C84EF5"/>
    <w:rsid w:val="622540F5"/>
    <w:rsid w:val="629E5D76"/>
    <w:rsid w:val="639257BA"/>
    <w:rsid w:val="63CE3BC7"/>
    <w:rsid w:val="64BA616B"/>
    <w:rsid w:val="64E56A65"/>
    <w:rsid w:val="655F16CC"/>
    <w:rsid w:val="659A641A"/>
    <w:rsid w:val="65C459D3"/>
    <w:rsid w:val="65C53578"/>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621AA2"/>
    <w:rsid w:val="6CAB36D8"/>
    <w:rsid w:val="6CB70040"/>
    <w:rsid w:val="6D1C7DDB"/>
    <w:rsid w:val="6D35147C"/>
    <w:rsid w:val="6D413ABD"/>
    <w:rsid w:val="6D925061"/>
    <w:rsid w:val="6DA265FA"/>
    <w:rsid w:val="6DAA3701"/>
    <w:rsid w:val="6EBE7B0B"/>
    <w:rsid w:val="6EFB3918"/>
    <w:rsid w:val="6EFD3D56"/>
    <w:rsid w:val="6FD70D84"/>
    <w:rsid w:val="7004359C"/>
    <w:rsid w:val="70952EC6"/>
    <w:rsid w:val="709C13CF"/>
    <w:rsid w:val="70B605B4"/>
    <w:rsid w:val="70F87C62"/>
    <w:rsid w:val="710F0089"/>
    <w:rsid w:val="71502811"/>
    <w:rsid w:val="71AF5789"/>
    <w:rsid w:val="7317621E"/>
    <w:rsid w:val="734939BC"/>
    <w:rsid w:val="73944C37"/>
    <w:rsid w:val="74587064"/>
    <w:rsid w:val="74A54C22"/>
    <w:rsid w:val="74F6722B"/>
    <w:rsid w:val="752217B8"/>
    <w:rsid w:val="757C1E26"/>
    <w:rsid w:val="77005B29"/>
    <w:rsid w:val="772C065B"/>
    <w:rsid w:val="7730111A"/>
    <w:rsid w:val="775D6EE5"/>
    <w:rsid w:val="77EE068E"/>
    <w:rsid w:val="77F9150C"/>
    <w:rsid w:val="791D1B70"/>
    <w:rsid w:val="7927654D"/>
    <w:rsid w:val="79501600"/>
    <w:rsid w:val="79982FA7"/>
    <w:rsid w:val="7A170370"/>
    <w:rsid w:val="7A410F49"/>
    <w:rsid w:val="7A4D3D91"/>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31799A"/>
    <w:rsid w:val="7D935F5F"/>
    <w:rsid w:val="7DBC3708"/>
    <w:rsid w:val="7E096221"/>
    <w:rsid w:val="7E1075B0"/>
    <w:rsid w:val="7E132BFC"/>
    <w:rsid w:val="7EC32874"/>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3174</Words>
  <Characters>3756</Characters>
  <Lines>16</Lines>
  <Paragraphs>4</Paragraphs>
  <TotalTime>566</TotalTime>
  <ScaleCrop>false</ScaleCrop>
  <LinksUpToDate>false</LinksUpToDate>
  <CharactersWithSpaces>3791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2025-09-26T08:14:00Z</cp:lastPrinted>
  <dcterms:modified xsi:type="dcterms:W3CDTF">2025-09-26T15:15:58Z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159C5125E64C4BF38897D585FF0B0E86_13</vt:lpwstr>
  </property>
  <property fmtid="{D5CDD505-2E9C-101B-9397-08002B2CF9AE}" pid="4" name="KSOTemplateDocerSaveRecord">
    <vt:lpwstr>eyJoZGlkIjoiMzEwNTM5NzYwMDRjMzkwZTVkZjY2ODkwMGIxNGU0OTUiLCJ1c2VySWQiOiI3MzM1NDAzNDUifQ==</vt:lpwstr>
  </property>
</Properties>
</file>