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云南医药健康职业学院眼科检查实训室采购</w:t>
      </w:r>
      <w:r>
        <w:rPr>
          <w:rFonts w:hint="eastAsia" w:cs="宋体" w:asciiTheme="minorEastAsia" w:hAnsiTheme="minorEastAsia" w:eastAsiaTheme="minorEastAsia"/>
          <w:b/>
          <w:bCs/>
          <w:color w:val="auto"/>
          <w:sz w:val="28"/>
          <w:szCs w:val="28"/>
        </w:rPr>
        <w:t>竞争性谈判文件</w:t>
      </w:r>
    </w:p>
    <w:p w14:paraId="7086A36F">
      <w:pPr>
        <w:spacing w:after="0" w:line="460" w:lineRule="exact"/>
        <w:ind w:firstLine="420"/>
        <w:rPr>
          <w:rFonts w:cs="宋体" w:asciiTheme="minorEastAsia" w:hAnsiTheme="minorEastAsia" w:eastAsiaTheme="minorEastAsia"/>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pPr w:leftFromText="180" w:rightFromText="180" w:vertAnchor="text" w:horzAnchor="page" w:tblpX="1379" w:tblpY="453"/>
        <w:tblOverlap w:val="never"/>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18"/>
        <w:gridCol w:w="4130"/>
        <w:gridCol w:w="639"/>
        <w:gridCol w:w="692"/>
        <w:gridCol w:w="926"/>
        <w:gridCol w:w="922"/>
      </w:tblGrid>
      <w:tr w14:paraId="2B0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BDB6BC9">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zh-TW" w:eastAsia="zh-TW"/>
              </w:rPr>
              <w:t>序号</w:t>
            </w:r>
          </w:p>
        </w:tc>
        <w:tc>
          <w:tcPr>
            <w:tcW w:w="754" w:type="pct"/>
            <w:noWrap/>
            <w:vAlign w:val="center"/>
          </w:tcPr>
          <w:p w14:paraId="180B3E70">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en-US" w:eastAsia="zh-CN"/>
              </w:rPr>
              <w:t>项目</w:t>
            </w:r>
            <w:r>
              <w:rPr>
                <w:rFonts w:hint="eastAsia" w:cs="宋体" w:asciiTheme="minorEastAsia" w:hAnsiTheme="minorEastAsia" w:eastAsiaTheme="minorEastAsia"/>
                <w:color w:val="auto"/>
                <w:u w:color="222222"/>
                <w:shd w:val="clear" w:color="auto" w:fill="FFFFFF"/>
                <w:lang w:val="zh-TW" w:eastAsia="zh-TW"/>
              </w:rPr>
              <w:t>名称</w:t>
            </w:r>
          </w:p>
        </w:tc>
        <w:tc>
          <w:tcPr>
            <w:tcW w:w="2197" w:type="pct"/>
            <w:noWrap/>
            <w:vAlign w:val="center"/>
          </w:tcPr>
          <w:p w14:paraId="37DA6B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参考</w:t>
            </w:r>
            <w:r>
              <w:rPr>
                <w:rFonts w:hint="default" w:cs="宋体" w:asciiTheme="minorEastAsia" w:hAnsiTheme="minorEastAsia" w:eastAsiaTheme="minorEastAsia"/>
                <w:color w:val="auto"/>
                <w:u w:color="222222"/>
                <w:shd w:val="clear" w:color="auto" w:fill="FFFFFF"/>
                <w:lang w:val="en-US" w:eastAsia="zh-CN"/>
              </w:rPr>
              <w:t>参数及规格要求</w:t>
            </w:r>
          </w:p>
        </w:tc>
        <w:tc>
          <w:tcPr>
            <w:tcW w:w="339" w:type="pct"/>
            <w:noWrap/>
            <w:vAlign w:val="center"/>
          </w:tcPr>
          <w:p w14:paraId="122C0A2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数量</w:t>
            </w:r>
          </w:p>
        </w:tc>
        <w:tc>
          <w:tcPr>
            <w:tcW w:w="368" w:type="pct"/>
            <w:noWrap/>
            <w:vAlign w:val="center"/>
          </w:tcPr>
          <w:p w14:paraId="5238857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单位</w:t>
            </w:r>
          </w:p>
        </w:tc>
        <w:tc>
          <w:tcPr>
            <w:tcW w:w="492" w:type="pct"/>
            <w:noWrap/>
            <w:vAlign w:val="center"/>
          </w:tcPr>
          <w:p w14:paraId="7675E7F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单价（元）</w:t>
            </w:r>
          </w:p>
        </w:tc>
        <w:tc>
          <w:tcPr>
            <w:tcW w:w="490" w:type="pct"/>
            <w:noWrap/>
            <w:vAlign w:val="center"/>
          </w:tcPr>
          <w:p w14:paraId="788038C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总计（元）</w:t>
            </w:r>
          </w:p>
        </w:tc>
      </w:tr>
      <w:tr w14:paraId="7DDA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04B01831">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754" w:type="pct"/>
            <w:noWrap/>
            <w:vAlign w:val="center"/>
          </w:tcPr>
          <w:p w14:paraId="78AEE897">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电脑验光仪</w:t>
            </w:r>
          </w:p>
        </w:tc>
        <w:tc>
          <w:tcPr>
            <w:tcW w:w="2197" w:type="pct"/>
            <w:noWrap/>
            <w:vAlign w:val="center"/>
          </w:tcPr>
          <w:p w14:paraId="2EDAAC82">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技术参数：测量模式</w:t>
            </w:r>
          </w:p>
          <w:p w14:paraId="7D41A22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K/R模式：测量屈光度和角膜曲率</w:t>
            </w:r>
          </w:p>
          <w:p w14:paraId="3B91466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REF模式：测量屈光度</w:t>
            </w:r>
          </w:p>
          <w:p w14:paraId="7282BE9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KER模式：测量角膜曲率</w:t>
            </w:r>
          </w:p>
          <w:p w14:paraId="31CB1AB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屈光测量</w:t>
            </w:r>
          </w:p>
          <w:p w14:paraId="60E1091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顶点距 (VD)：0.0, 12.0, 13.75, 15.0mm</w:t>
            </w:r>
          </w:p>
          <w:p w14:paraId="1081979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球镜度：-20.00 ～ +20.00D (0.12/0.25D步长) (VD=12mm)</w:t>
            </w:r>
          </w:p>
          <w:p w14:paraId="76C012C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柱镜度：0.00 ～ ±10.00D (0.12/0.25D步长)</w:t>
            </w:r>
          </w:p>
          <w:p w14:paraId="5954970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轴位：1° ～ 180° (每步1°)</w:t>
            </w:r>
          </w:p>
          <w:p w14:paraId="29AD02B2">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瞳距范围：30 ～ 85mm</w:t>
            </w:r>
          </w:p>
          <w:p w14:paraId="00AD9C8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最小测量瞳孔直径：￠2.0mm</w:t>
            </w:r>
          </w:p>
          <w:p w14:paraId="11A92A9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视标：自动云雾图</w:t>
            </w:r>
          </w:p>
          <w:p w14:paraId="7646641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角膜测量</w:t>
            </w:r>
          </w:p>
          <w:p w14:paraId="1D13A6A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角膜曲率半径：5 ～ 10mm (0.01mm步长)</w:t>
            </w:r>
          </w:p>
          <w:p w14:paraId="374E8B86">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角膜屈光度：33.00 ～ 67.00D (0.12/0.25D步长) (另一来源为30.00 ～ 67.00D )</w:t>
            </w:r>
          </w:p>
          <w:p w14:paraId="298F718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角膜散光度：0.00 ～ -15.00D (0.12/0.25D步长)</w:t>
            </w:r>
          </w:p>
          <w:p w14:paraId="1394D48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轴位：1° ～ 180° (每步1°)</w:t>
            </w:r>
          </w:p>
          <w:p w14:paraId="5CB4157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角膜直径：2.0 ～ 12.00mm</w:t>
            </w:r>
          </w:p>
          <w:p w14:paraId="5B17C4E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产品规格</w:t>
            </w:r>
          </w:p>
          <w:p w14:paraId="3F4AC73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显示器：5.7英寸LCD彩色液晶显示器</w:t>
            </w:r>
          </w:p>
          <w:p w14:paraId="412E78B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内置打印机：热敏打印机</w:t>
            </w:r>
          </w:p>
          <w:p w14:paraId="17D6C8E2">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节电方式：5、15分钟无操作自动屏保</w:t>
            </w:r>
          </w:p>
          <w:p w14:paraId="3B948C3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电源：AC100～240V, 50/60Hz</w:t>
            </w:r>
          </w:p>
        </w:tc>
        <w:tc>
          <w:tcPr>
            <w:tcW w:w="339" w:type="pct"/>
            <w:noWrap/>
            <w:vAlign w:val="center"/>
          </w:tcPr>
          <w:p w14:paraId="60EC28D2">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3992E31C">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138CA309">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2BB538A0">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608A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442A26AC">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2</w:t>
            </w:r>
          </w:p>
        </w:tc>
        <w:tc>
          <w:tcPr>
            <w:tcW w:w="754" w:type="pct"/>
            <w:noWrap/>
            <w:vAlign w:val="center"/>
          </w:tcPr>
          <w:p w14:paraId="7369326F">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综合验光仪组合台</w:t>
            </w:r>
          </w:p>
        </w:tc>
        <w:tc>
          <w:tcPr>
            <w:tcW w:w="2197" w:type="pct"/>
            <w:noWrap/>
            <w:vAlign w:val="center"/>
          </w:tcPr>
          <w:p w14:paraId="2CA95E6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技术参数：：组合台空间尺寸为 103cm×83cm×186cm，台面空间尺寸为 103cm×50cm×13cm，移动小台面尺寸为 30cm×40cm，抽屉内尺寸为 54.5cm×37cm×5cm，移动小台面左右滑动距离为 6-46cm，行程 40cm，综合检眼仪摆臂升降距离为 143-173cm，行程 30cm，投影托盘离地面高度为 155cm，电动升降椅空间尺寸为 68cm×59cm×134.5cm，电动升降椅升降距离为 119.5-134.5cm，行程 15cm，照明灯功率为 15W，总功率为 165W。</w:t>
            </w:r>
          </w:p>
        </w:tc>
        <w:tc>
          <w:tcPr>
            <w:tcW w:w="339" w:type="pct"/>
            <w:noWrap/>
            <w:vAlign w:val="center"/>
          </w:tcPr>
          <w:p w14:paraId="00C5141E">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0B7C5EAB">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69E7B6D6">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6EDFECCB">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4989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5B97161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3</w:t>
            </w:r>
          </w:p>
        </w:tc>
        <w:tc>
          <w:tcPr>
            <w:tcW w:w="754" w:type="pct"/>
            <w:noWrap/>
            <w:vAlign w:val="center"/>
          </w:tcPr>
          <w:p w14:paraId="259AFFC8">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综合验光验光头</w:t>
            </w:r>
          </w:p>
        </w:tc>
        <w:tc>
          <w:tcPr>
            <w:tcW w:w="2197" w:type="pct"/>
            <w:noWrap/>
            <w:vAlign w:val="center"/>
          </w:tcPr>
          <w:p w14:paraId="2C8ABCE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技术参数：球镜：-29.000——+26.750D（0.12D/0.25D/0.50D/3.00D 增量），-19.000——+16.750D（交叉四柱镜测试，棱镜测试）。</w:t>
            </w:r>
          </w:p>
          <w:p w14:paraId="3D4CBBD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柱镜：0.00D——±8.75D（0.25D/1.00D/2.00D/3.00D 增量）。</w:t>
            </w:r>
          </w:p>
          <w:p w14:paraId="113F50B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轴位：0°——180°（1°/5°/15° 增量）。</w:t>
            </w:r>
          </w:p>
          <w:p w14:paraId="0E8FE73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瞳距：远用为 48mm——80mm；近用（工作距离为 35mm）为 45mm——75mm（0.5/1.0mm 步长）。</w:t>
            </w:r>
          </w:p>
          <w:p w14:paraId="736121D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棱镜：0.00△——20.00△（0.1△/0.5△/2△增量）。</w:t>
            </w:r>
          </w:p>
          <w:p w14:paraId="286C623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交叉圆柱镜：±0.25D，±0.50D，±0.25D 自动交叉圆柱镜。</w:t>
            </w:r>
          </w:p>
          <w:p w14:paraId="3B47C9A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辅助镜片：包括遮挡板、针孔板（φ2mm）、红色马氏杆（右眼：水平，左眼：垂直）、红 / 绿滤色片、PD 检查镜、偏振镜片（右眼：135°；左眼：45°/ 右眼：45°；左眼：135°）、固定交叉圆柱镜（±0.50D，轴位固定在 90°）、球镜检影镜（+1.50D 对应检影距离 67cm，+2.00D 对应检影距离 50cm）、分离棱镜（右眼：6△BU，左眼：10△BI / 右眼：3△BD，左眼：3△BU）等。</w:t>
            </w:r>
          </w:p>
          <w:p w14:paraId="33117B3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使用距离：350mm——700mm（50mm 增量）。</w:t>
            </w:r>
          </w:p>
          <w:p w14:paraId="6CE13EF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视野范围：40°（VD=12mm），39°（VD=13.75mm）。</w:t>
            </w:r>
          </w:p>
          <w:p w14:paraId="28A3B16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颌托调整：14mm，±2mm。</w:t>
            </w:r>
          </w:p>
          <w:p w14:paraId="6755134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VD 调整：12mm，14mm，16mm，18mm，20mm。</w:t>
            </w:r>
          </w:p>
          <w:p w14:paraId="4224D74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水平调整：±2.5°。</w:t>
            </w:r>
          </w:p>
          <w:p w14:paraId="4387E42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显示屏：8.4 英寸彩色 LCD 液晶触摸屏。</w:t>
            </w:r>
          </w:p>
          <w:p w14:paraId="57D0A55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打印方式：外置热敏行式打印（打印纸宽度：58mm）。</w:t>
            </w:r>
          </w:p>
          <w:p w14:paraId="1224B72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接口：RS-232。</w:t>
            </w:r>
          </w:p>
        </w:tc>
        <w:tc>
          <w:tcPr>
            <w:tcW w:w="339" w:type="pct"/>
            <w:noWrap/>
            <w:vAlign w:val="center"/>
          </w:tcPr>
          <w:p w14:paraId="36A0E506">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605B7F6B">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741AA0F5">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7AED92A8">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6885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17926437">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4</w:t>
            </w:r>
          </w:p>
        </w:tc>
        <w:tc>
          <w:tcPr>
            <w:tcW w:w="754" w:type="pct"/>
            <w:noWrap/>
            <w:vAlign w:val="center"/>
          </w:tcPr>
          <w:p w14:paraId="7681DCCF">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综合验光仪</w:t>
            </w:r>
          </w:p>
          <w:p w14:paraId="24F7F029">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投影仪</w:t>
            </w:r>
          </w:p>
        </w:tc>
        <w:tc>
          <w:tcPr>
            <w:tcW w:w="2197" w:type="pct"/>
            <w:noWrap/>
            <w:vAlign w:val="center"/>
          </w:tcPr>
          <w:p w14:paraId="6EE877C3">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技术参数：投影距离：1.5m-7m</w:t>
            </w:r>
          </w:p>
          <w:p w14:paraId="2656EB5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投影放大倍率：在 5m 距离时为 30 倍</w:t>
            </w:r>
          </w:p>
          <w:p w14:paraId="248B99B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投影尺寸：在 5m 距离时为 330mm（宽）×270mm（高）</w:t>
            </w:r>
          </w:p>
          <w:p w14:paraId="5497936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视标切换速度：0.01-0.02s</w:t>
            </w:r>
          </w:p>
          <w:p w14:paraId="2E061EE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遮盖板数量：35 个，包括 1 个完全打开、5 个水平、8 个垂直、21 个单字母、1 个红 / 绿</w:t>
            </w:r>
          </w:p>
          <w:p w14:paraId="7E2B5D2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遮盖板切换速度：0.01-0.02s</w:t>
            </w:r>
          </w:p>
          <w:p w14:paraId="074ED79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程序设置：2 套程序，每套程序最多 30 个步骤</w:t>
            </w:r>
          </w:p>
          <w:p w14:paraId="039B6213">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光源：12V，50W 卤素灯或 12V，10W LED 灯</w:t>
            </w:r>
          </w:p>
          <w:p w14:paraId="4B0A464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电源：AC 220V，50Hz 或 110V，60Hz</w:t>
            </w:r>
          </w:p>
          <w:p w14:paraId="46DB227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功率消耗：80W</w:t>
            </w:r>
          </w:p>
          <w:p w14:paraId="7E5E602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尺寸：320mm（长）×218mm（宽）×240mm（高）</w:t>
            </w:r>
          </w:p>
          <w:p w14:paraId="08BA2B3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净重：7.2kg</w:t>
            </w:r>
          </w:p>
          <w:p w14:paraId="47A3E0E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标准附件：遥控器、偏振金属屏、卤素灯、偏振眼镜、2 个保险丝、2 节电池</w:t>
            </w:r>
          </w:p>
          <w:p w14:paraId="5629600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可选附件：落地支架、墙用支架</w:t>
            </w:r>
          </w:p>
          <w:p w14:paraId="2F03ACE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视标类型：兰道环（Landolt）、字母、儿童视标、斯内伦（Snellen）等</w:t>
            </w:r>
          </w:p>
        </w:tc>
        <w:tc>
          <w:tcPr>
            <w:tcW w:w="339" w:type="pct"/>
            <w:noWrap/>
            <w:vAlign w:val="center"/>
          </w:tcPr>
          <w:p w14:paraId="5689BFB0">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4EE156F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644F1C65">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7060FE1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5E60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E64835F">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5</w:t>
            </w:r>
          </w:p>
        </w:tc>
        <w:tc>
          <w:tcPr>
            <w:tcW w:w="754" w:type="pct"/>
            <w:noWrap/>
            <w:vAlign w:val="center"/>
          </w:tcPr>
          <w:p w14:paraId="40FAB50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半自动磨边机</w:t>
            </w:r>
          </w:p>
        </w:tc>
        <w:tc>
          <w:tcPr>
            <w:tcW w:w="2197" w:type="pct"/>
            <w:noWrap/>
            <w:vAlign w:val="center"/>
          </w:tcPr>
          <w:p w14:paraId="3328700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技术参数：基本参数</w:t>
            </w:r>
          </w:p>
          <w:p w14:paraId="72FC2E6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外形尺寸：60cm×60cm×50cm</w:t>
            </w:r>
          </w:p>
          <w:p w14:paraId="4ABE8806">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重量：60kg</w:t>
            </w:r>
          </w:p>
          <w:p w14:paraId="7621DAE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适用范围：眼镜加工</w:t>
            </w:r>
          </w:p>
          <w:p w14:paraId="3CB0B4A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电源参数</w:t>
            </w:r>
          </w:p>
          <w:p w14:paraId="5F48ECD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电源：AC380V/50Hz（控制电源 AC24V）</w:t>
            </w:r>
          </w:p>
          <w:p w14:paraId="3291280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额定电流：10A 以上</w:t>
            </w:r>
          </w:p>
          <w:p w14:paraId="65226602">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电源导线：采用大于等于 BRV-25、50V，接地电阻小于等于 4Ω</w:t>
            </w:r>
          </w:p>
          <w:p w14:paraId="5DF515F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主电机功率：600W</w:t>
            </w:r>
          </w:p>
          <w:p w14:paraId="61EFBDA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控制系统参数</w:t>
            </w:r>
          </w:p>
          <w:p w14:paraId="10F34B6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控制方式：采用手动自由控制，可实现玻璃粗磨、树脂粗磨、精细平磨、抛光、V 型倒角等操作。</w:t>
            </w:r>
          </w:p>
          <w:p w14:paraId="263F8F2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操作功能：控制面板可控制初始化自检、尺寸缩放、边型、镜片材质、磨边模式、卡头开与关、启动磨边、重磨、急停等操作。</w:t>
            </w:r>
          </w:p>
          <w:p w14:paraId="0FA60BA6">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砂轮规格：包括树脂片专用砂轮、玻璃片专用砂轮、精细平磨倒角轮、抛光专用砂轮等，具体尺寸未明确提及。</w:t>
            </w:r>
          </w:p>
          <w:p w14:paraId="046C576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其他参数</w:t>
            </w:r>
          </w:p>
          <w:p w14:paraId="5C770BE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弯度调节器：控制磨边方式下磨尖边时，可根据镜片基弯进行弯度调整，以保证高弯镜片正常磨边。</w:t>
            </w:r>
          </w:p>
          <w:p w14:paraId="56B5D80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水掣：控制磨边过程中冷却水的流量。</w:t>
            </w:r>
          </w:p>
        </w:tc>
        <w:tc>
          <w:tcPr>
            <w:tcW w:w="339" w:type="pct"/>
            <w:noWrap/>
            <w:vAlign w:val="center"/>
          </w:tcPr>
          <w:p w14:paraId="13901C44">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2</w:t>
            </w:r>
          </w:p>
        </w:tc>
        <w:tc>
          <w:tcPr>
            <w:tcW w:w="368" w:type="pct"/>
            <w:noWrap/>
            <w:vAlign w:val="center"/>
          </w:tcPr>
          <w:p w14:paraId="08409AD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4C951E0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5D9FD18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6BEB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3594FF6B">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6</w:t>
            </w:r>
          </w:p>
        </w:tc>
        <w:tc>
          <w:tcPr>
            <w:tcW w:w="754" w:type="pct"/>
            <w:noWrap/>
            <w:vAlign w:val="center"/>
          </w:tcPr>
          <w:p w14:paraId="04F78CDB">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标准对数视力表灯箱</w:t>
            </w:r>
          </w:p>
        </w:tc>
        <w:tc>
          <w:tcPr>
            <w:tcW w:w="2197" w:type="pct"/>
            <w:noWrap/>
            <w:vAlign w:val="center"/>
          </w:tcPr>
          <w:p w14:paraId="45261D4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技术参数：基本参数</w:t>
            </w:r>
          </w:p>
          <w:p w14:paraId="571F413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尺寸：75×45×3cm</w:t>
            </w:r>
          </w:p>
          <w:p w14:paraId="37F3901B">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重量：4kg</w:t>
            </w:r>
          </w:p>
          <w:p w14:paraId="77346476">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加工定制：否</w:t>
            </w:r>
          </w:p>
          <w:p w14:paraId="44745C93">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视力检测参数</w:t>
            </w:r>
          </w:p>
          <w:p w14:paraId="185427A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视标类型：E 型</w:t>
            </w:r>
          </w:p>
          <w:p w14:paraId="25D2A06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检查距离：5m</w:t>
            </w:r>
          </w:p>
          <w:p w14:paraId="21E43FE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检查范围：4.0-5.3</w:t>
            </w:r>
          </w:p>
          <w:p w14:paraId="3C38156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视力记录：五分记录、小数记录</w:t>
            </w:r>
          </w:p>
          <w:p w14:paraId="19BD45F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灯光参数</w:t>
            </w:r>
          </w:p>
          <w:p w14:paraId="1BFFBB3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亮度：≥300CD/㎡</w:t>
            </w:r>
          </w:p>
          <w:p w14:paraId="10C5900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电源：电压在 150-260V 时能正常工作</w:t>
            </w:r>
          </w:p>
        </w:tc>
        <w:tc>
          <w:tcPr>
            <w:tcW w:w="339" w:type="pct"/>
            <w:noWrap/>
            <w:vAlign w:val="center"/>
          </w:tcPr>
          <w:p w14:paraId="4A7CC649">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4</w:t>
            </w:r>
          </w:p>
        </w:tc>
        <w:tc>
          <w:tcPr>
            <w:tcW w:w="368" w:type="pct"/>
            <w:noWrap/>
            <w:vAlign w:val="center"/>
          </w:tcPr>
          <w:p w14:paraId="09708DFB">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102AEF75">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00497B5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459F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C89C21F">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7</w:t>
            </w:r>
          </w:p>
        </w:tc>
        <w:tc>
          <w:tcPr>
            <w:tcW w:w="754" w:type="pct"/>
            <w:noWrap/>
            <w:vAlign w:val="center"/>
          </w:tcPr>
          <w:p w14:paraId="70DB1575">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Titimus立体视觉检测图全套</w:t>
            </w:r>
          </w:p>
        </w:tc>
        <w:tc>
          <w:tcPr>
            <w:tcW w:w="2197" w:type="pct"/>
            <w:noWrap/>
            <w:vAlign w:val="center"/>
          </w:tcPr>
          <w:p w14:paraId="1D25365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技术参数：至少包含三组检查图片①苍蝇定性筛查图片；②动物定量图，视差值分别为200″和100″等；③圆圈定量图片，检查各级级视差。</w:t>
            </w:r>
          </w:p>
        </w:tc>
        <w:tc>
          <w:tcPr>
            <w:tcW w:w="339" w:type="pct"/>
            <w:noWrap/>
            <w:vAlign w:val="center"/>
          </w:tcPr>
          <w:p w14:paraId="20F2F41E">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00DF124B">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套</w:t>
            </w:r>
          </w:p>
        </w:tc>
        <w:tc>
          <w:tcPr>
            <w:tcW w:w="492" w:type="pct"/>
            <w:noWrap/>
            <w:vAlign w:val="center"/>
          </w:tcPr>
          <w:p w14:paraId="02B61B41">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5AB5848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79B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444A8924">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8</w:t>
            </w:r>
          </w:p>
        </w:tc>
        <w:tc>
          <w:tcPr>
            <w:tcW w:w="754" w:type="pct"/>
            <w:noWrap/>
            <w:vAlign w:val="center"/>
          </w:tcPr>
          <w:p w14:paraId="0DAB5F2A">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非接触式眼压计</w:t>
            </w:r>
          </w:p>
        </w:tc>
        <w:tc>
          <w:tcPr>
            <w:tcW w:w="2197" w:type="pct"/>
            <w:noWrap/>
            <w:vAlign w:val="center"/>
          </w:tcPr>
          <w:p w14:paraId="2FB1025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技术参数：测量范围：1mmHg～60mmHg</w:t>
            </w:r>
          </w:p>
          <w:p w14:paraId="091C3273">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测量量程：30mmHg，60mmHg</w:t>
            </w:r>
          </w:p>
          <w:p w14:paraId="303B3C6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测量精度：1mmHg</w:t>
            </w:r>
          </w:p>
          <w:p w14:paraId="3FFF6FF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工作距离：11mm</w:t>
            </w:r>
          </w:p>
          <w:p w14:paraId="024C03E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对焦方法：对焦点＋对焦提示</w:t>
            </w:r>
          </w:p>
          <w:p w14:paraId="434BC43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对焦方式：三维自动对焦 / 手动对焦 / 触摸屏对焦</w:t>
            </w:r>
          </w:p>
          <w:p w14:paraId="547BD17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自动对焦范围：左右 0-11mm，上下 0-20mm，前后 0-11mm</w:t>
            </w:r>
          </w:p>
          <w:p w14:paraId="6780F81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内部固视灯：绿 LED</w:t>
            </w:r>
          </w:p>
          <w:p w14:paraId="27F3934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摇杆运动行程：前后 40mm，左右 80mm，上下 20mm</w:t>
            </w:r>
          </w:p>
          <w:p w14:paraId="22480926">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显示方式：彩色大屏幕液晶显示屏</w:t>
            </w:r>
          </w:p>
          <w:p w14:paraId="77624D8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输出方式：快速热敏打印机</w:t>
            </w:r>
          </w:p>
          <w:p w14:paraId="1EC99F98">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滤色片：隔热片、减光片、无赤片、钴蓝片</w:t>
            </w:r>
          </w:p>
          <w:p w14:paraId="12655D5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光阑大小：14mm、10mm、5mm、3mm、2mm、1mm、0.2mm</w:t>
            </w:r>
          </w:p>
          <w:p w14:paraId="7FE17A0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照度：≥150klx</w:t>
            </w:r>
          </w:p>
          <w:p w14:paraId="0F87323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运动底座：前后移动 115mm，左右移动 110mm，上下移动 30mm</w:t>
            </w:r>
          </w:p>
          <w:p w14:paraId="4A74734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颚托支架：上下移动 80mm</w:t>
            </w:r>
          </w:p>
          <w:p w14:paraId="1F47781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电箱输入电压：～100-240V</w:t>
            </w:r>
          </w:p>
          <w:p w14:paraId="65A7FD4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输入频率：50/60Hz</w:t>
            </w:r>
          </w:p>
          <w:p w14:paraId="5017DCFF">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额定电流：1.2A</w:t>
            </w:r>
          </w:p>
          <w:p w14:paraId="64CCE88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输出电压：3V（LED）、15V（固视灯）</w:t>
            </w:r>
          </w:p>
          <w:p w14:paraId="767DD3F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重量和尺寸：包装盒 740mm×450mm×550mm（长 / 宽 / 高），总重量 23Kg，净重量 17Kg</w:t>
            </w:r>
          </w:p>
          <w:p w14:paraId="292463E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使用环境：温度 + 5℃～+40℃，相对湿度≤90%，大气压 860hPa～1060hPa</w:t>
            </w:r>
          </w:p>
          <w:p w14:paraId="37B1B26A">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贮存环境：温度－40℃～＋55℃，相对湿度≤90％，大气压 860hPa～1060hPa</w:t>
            </w:r>
          </w:p>
          <w:p w14:paraId="06D44CC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运输环境：温度－40℃～＋55℃，相对湿度≤90％，大气压 860hPa～1060hPa</w:t>
            </w:r>
          </w:p>
        </w:tc>
        <w:tc>
          <w:tcPr>
            <w:tcW w:w="339" w:type="pct"/>
            <w:noWrap/>
            <w:vAlign w:val="center"/>
          </w:tcPr>
          <w:p w14:paraId="4B2CB401">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w:t>
            </w:r>
          </w:p>
        </w:tc>
        <w:tc>
          <w:tcPr>
            <w:tcW w:w="368" w:type="pct"/>
            <w:noWrap/>
            <w:vAlign w:val="center"/>
          </w:tcPr>
          <w:p w14:paraId="0278808C">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712FAE69">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297C2077">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6F22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920BFA8">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9</w:t>
            </w:r>
          </w:p>
        </w:tc>
        <w:tc>
          <w:tcPr>
            <w:tcW w:w="754" w:type="pct"/>
            <w:noWrap/>
            <w:vAlign w:val="center"/>
          </w:tcPr>
          <w:p w14:paraId="75DA9358">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无框打孔锯槽一体机</w:t>
            </w:r>
          </w:p>
        </w:tc>
        <w:tc>
          <w:tcPr>
            <w:tcW w:w="2197" w:type="pct"/>
            <w:noWrap/>
            <w:vAlign w:val="center"/>
          </w:tcPr>
          <w:p w14:paraId="38D1E58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技术参数：钻孔直径：0.8mm 到 2.8mm，精度可达 ±0.2mm。</w:t>
            </w:r>
          </w:p>
          <w:p w14:paraId="4AC3D88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锯槽宽度：0.8mm 到 1.0mm。</w:t>
            </w:r>
          </w:p>
          <w:p w14:paraId="2C3E2D0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适用镜片材料：玻璃（矿物）、塑件（CR-39）、聚碳酸酯等。</w:t>
            </w:r>
          </w:p>
          <w:p w14:paraId="512E623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尺寸：约 250（W）X220（D）X345（H）mm。</w:t>
            </w:r>
          </w:p>
          <w:p w14:paraId="76677EC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重量：4.8 公斤。</w:t>
            </w:r>
          </w:p>
          <w:p w14:paraId="3F5D0E2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电源要求：200 到 240V/50HZ AC15W 或 100 到 120V/60HZ AC25W。</w:t>
            </w:r>
          </w:p>
        </w:tc>
        <w:tc>
          <w:tcPr>
            <w:tcW w:w="339" w:type="pct"/>
            <w:noWrap/>
            <w:vAlign w:val="center"/>
          </w:tcPr>
          <w:p w14:paraId="1E66E5D0">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2</w:t>
            </w:r>
          </w:p>
        </w:tc>
        <w:tc>
          <w:tcPr>
            <w:tcW w:w="368" w:type="pct"/>
            <w:noWrap/>
            <w:vAlign w:val="center"/>
          </w:tcPr>
          <w:p w14:paraId="4F651D8F">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3193661E">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721BD484">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1A3D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8DAA776">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10</w:t>
            </w:r>
          </w:p>
        </w:tc>
        <w:tc>
          <w:tcPr>
            <w:tcW w:w="754" w:type="pct"/>
            <w:noWrap/>
            <w:vAlign w:val="center"/>
          </w:tcPr>
          <w:p w14:paraId="54D9A295">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自动倒角机</w:t>
            </w:r>
          </w:p>
        </w:tc>
        <w:tc>
          <w:tcPr>
            <w:tcW w:w="2197" w:type="pct"/>
            <w:noWrap/>
            <w:vAlign w:val="center"/>
          </w:tcPr>
          <w:p w14:paraId="6FD14D14">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技术参数：砂轮材质：金刚石</w:t>
            </w:r>
          </w:p>
          <w:p w14:paraId="43E1F95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砂轮尺寸：100x35mmφ10mm</w:t>
            </w:r>
          </w:p>
          <w:p w14:paraId="35D22680">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产品尺寸：285x170x225mm</w:t>
            </w:r>
          </w:p>
          <w:p w14:paraId="117E87F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包装尺寸:405x270x290mm</w:t>
            </w:r>
          </w:p>
          <w:p w14:paraId="4BAF1B55">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产品重量:6.8kg</w:t>
            </w:r>
          </w:p>
          <w:p w14:paraId="7C06037C">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砂轮转速:5500-6000r/min</w:t>
            </w:r>
          </w:p>
          <w:p w14:paraId="66B0525E">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配用电源:AC 220V/50Hz或110V/60Hz</w:t>
            </w:r>
          </w:p>
          <w:p w14:paraId="4AE1E51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功率:≤80AV</w:t>
            </w:r>
          </w:p>
          <w:p w14:paraId="557AD839">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砂轮参数:35WV粗180目 ·细400目 ·侧v槽</w:t>
            </w:r>
          </w:p>
          <w:p w14:paraId="0821C53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 xml:space="preserve">可磨材质:树脂、玻璃、聚碳 </w:t>
            </w:r>
          </w:p>
          <w:p w14:paraId="352199AD">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 xml:space="preserve">电源线连接方式:直插 </w:t>
            </w:r>
          </w:p>
          <w:p w14:paraId="02071D91">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 xml:space="preserve">砂轮固定方式:双支架 </w:t>
            </w:r>
          </w:p>
          <w:p w14:paraId="2CB02D77">
            <w:pPr>
              <w:keepNext w:val="0"/>
              <w:keepLines w:val="0"/>
              <w:pageBreakBefore w:val="0"/>
              <w:kinsoku/>
              <w:overflowPunct/>
              <w:topLinePunct w:val="0"/>
              <w:autoSpaceDE/>
              <w:autoSpaceDN/>
              <w:bidi w:val="0"/>
              <w:adjustRightInd/>
              <w:snapToGrid/>
              <w:spacing w:line="336" w:lineRule="auto"/>
              <w:jc w:val="left"/>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电机: 交流电机</w:t>
            </w:r>
          </w:p>
        </w:tc>
        <w:tc>
          <w:tcPr>
            <w:tcW w:w="339" w:type="pct"/>
            <w:noWrap/>
            <w:vAlign w:val="center"/>
          </w:tcPr>
          <w:p w14:paraId="629042D0">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2</w:t>
            </w:r>
          </w:p>
        </w:tc>
        <w:tc>
          <w:tcPr>
            <w:tcW w:w="368" w:type="pct"/>
            <w:noWrap/>
            <w:vAlign w:val="center"/>
          </w:tcPr>
          <w:p w14:paraId="1DBDB76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台</w:t>
            </w:r>
          </w:p>
        </w:tc>
        <w:tc>
          <w:tcPr>
            <w:tcW w:w="492" w:type="pct"/>
            <w:noWrap/>
            <w:vAlign w:val="center"/>
          </w:tcPr>
          <w:p w14:paraId="2427266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c>
          <w:tcPr>
            <w:tcW w:w="490" w:type="pct"/>
            <w:noWrap/>
            <w:vAlign w:val="center"/>
          </w:tcPr>
          <w:p w14:paraId="5ABEBED8">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p>
        </w:tc>
      </w:tr>
      <w:tr w14:paraId="70DF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016" w:type="pct"/>
            <w:gridSpan w:val="5"/>
            <w:noWrap/>
            <w:vAlign w:val="center"/>
          </w:tcPr>
          <w:p w14:paraId="1EAC423A">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合计金额</w:t>
            </w:r>
          </w:p>
        </w:tc>
        <w:tc>
          <w:tcPr>
            <w:tcW w:w="983" w:type="pct"/>
            <w:gridSpan w:val="2"/>
            <w:noWrap/>
            <w:vAlign w:val="center"/>
          </w:tcPr>
          <w:p w14:paraId="48F3A6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元（大写：）</w:t>
            </w:r>
          </w:p>
        </w:tc>
      </w:tr>
    </w:tbl>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20000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贰万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代理费收费比例见下表：</w:t>
      </w: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23</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24</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下</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14:</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评审地点：云南省昆明市五华区海屯路296号综合楼8楼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杨</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13769491020</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17</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bookmarkStart w:id="0" w:name="_GoBack"/>
      <w:bookmarkEnd w:id="0"/>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1" w:fontKey="{77CF43EC-290C-4032-AE4A-9FB55161FFC3}"/>
  </w:font>
  <w:font w:name="PMingLiU">
    <w:altName w:val="Verdana"/>
    <w:panose1 w:val="02010601000101010101"/>
    <w:charset w:val="00"/>
    <w:family w:val="auto"/>
    <w:pitch w:val="default"/>
    <w:sig w:usb0="00000000" w:usb1="00000000" w:usb2="00000000" w:usb3="00000000" w:csb0="00000000" w:csb1="00000000"/>
    <w:embedRegular r:id="rId2" w:fontKey="{F99D86DB-6E08-4915-B3A7-CE700ECDB483}"/>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A308B2"/>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3A7D4E"/>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71E423C"/>
    <w:rsid w:val="28012E1E"/>
    <w:rsid w:val="28234CE7"/>
    <w:rsid w:val="28245882"/>
    <w:rsid w:val="28B0510D"/>
    <w:rsid w:val="28B05368"/>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AF04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C1D6C"/>
    <w:rsid w:val="376D0FF4"/>
    <w:rsid w:val="377A726D"/>
    <w:rsid w:val="378E21EB"/>
    <w:rsid w:val="37920A5A"/>
    <w:rsid w:val="37E10C18"/>
    <w:rsid w:val="38D330D8"/>
    <w:rsid w:val="390519D8"/>
    <w:rsid w:val="392A6A70"/>
    <w:rsid w:val="39663F4D"/>
    <w:rsid w:val="3995213C"/>
    <w:rsid w:val="39981C2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E2FD3"/>
    <w:rsid w:val="3D2F0AF9"/>
    <w:rsid w:val="3DF5776D"/>
    <w:rsid w:val="3E1607E4"/>
    <w:rsid w:val="3E774506"/>
    <w:rsid w:val="3E7C38CA"/>
    <w:rsid w:val="3ED24D5F"/>
    <w:rsid w:val="3FBF6165"/>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9067A7"/>
    <w:rsid w:val="48AB2CA2"/>
    <w:rsid w:val="48F52BF7"/>
    <w:rsid w:val="49A91E85"/>
    <w:rsid w:val="4A3459A1"/>
    <w:rsid w:val="4A502EA4"/>
    <w:rsid w:val="4B840262"/>
    <w:rsid w:val="4B90505B"/>
    <w:rsid w:val="4C155020"/>
    <w:rsid w:val="4C211B66"/>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A7F10"/>
    <w:rsid w:val="572D17AE"/>
    <w:rsid w:val="57574A7D"/>
    <w:rsid w:val="57963596"/>
    <w:rsid w:val="57BF7FC6"/>
    <w:rsid w:val="58164551"/>
    <w:rsid w:val="58A12453"/>
    <w:rsid w:val="5901739F"/>
    <w:rsid w:val="594F3C5E"/>
    <w:rsid w:val="5A193B3B"/>
    <w:rsid w:val="5AE35282"/>
    <w:rsid w:val="5BA858A7"/>
    <w:rsid w:val="5BBD65B1"/>
    <w:rsid w:val="5BDE576D"/>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5D183B"/>
    <w:rsid w:val="611371DB"/>
    <w:rsid w:val="612C2AD6"/>
    <w:rsid w:val="617D467A"/>
    <w:rsid w:val="61C84EF5"/>
    <w:rsid w:val="622540F5"/>
    <w:rsid w:val="639257BA"/>
    <w:rsid w:val="63CE3BC7"/>
    <w:rsid w:val="64E56A65"/>
    <w:rsid w:val="655F16CC"/>
    <w:rsid w:val="659A641A"/>
    <w:rsid w:val="65C459D3"/>
    <w:rsid w:val="65C53578"/>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BE7B0B"/>
    <w:rsid w:val="6EFB3918"/>
    <w:rsid w:val="6EFD3D56"/>
    <w:rsid w:val="6FD70D84"/>
    <w:rsid w:val="7004359C"/>
    <w:rsid w:val="70952EC6"/>
    <w:rsid w:val="709C13CF"/>
    <w:rsid w:val="70B605B4"/>
    <w:rsid w:val="70F87C62"/>
    <w:rsid w:val="710F0089"/>
    <w:rsid w:val="71502811"/>
    <w:rsid w:val="71AF5789"/>
    <w:rsid w:val="7317621E"/>
    <w:rsid w:val="734939BC"/>
    <w:rsid w:val="73944C37"/>
    <w:rsid w:val="74587064"/>
    <w:rsid w:val="74A54C22"/>
    <w:rsid w:val="74F6722B"/>
    <w:rsid w:val="752217B8"/>
    <w:rsid w:val="757C1E26"/>
    <w:rsid w:val="77005B29"/>
    <w:rsid w:val="772C065B"/>
    <w:rsid w:val="7730111A"/>
    <w:rsid w:val="775D6EE5"/>
    <w:rsid w:val="77EE068E"/>
    <w:rsid w:val="77F9150C"/>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4276</Words>
  <Characters>5527</Characters>
  <Lines>16</Lines>
  <Paragraphs>4</Paragraphs>
  <TotalTime>57</TotalTime>
  <ScaleCrop>false</ScaleCrop>
  <LinksUpToDate>false</LinksUpToDate>
  <CharactersWithSpaces>5698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2025-09-17T01:14:20Z</cp:lastPrinted>
  <dcterms:modified xsi:type="dcterms:W3CDTF">2025-09-17T01:15:57Z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eyJoZGlkIjoiMzEwNTM5NzYwMDRjMzkwZTVkZjY2ODkwMGIxNGU0OTUiLCJ1c2VySWQiOiI3MzM1NDAzNDUifQ==</vt:lpwstr>
  </property>
</Properties>
</file>